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29D" w:rsidRDefault="00F5529D">
      <w:pPr>
        <w:jc w:val="center"/>
      </w:pPr>
    </w:p>
    <w:tbl>
      <w:tblPr>
        <w:tblStyle w:val="a"/>
        <w:tblW w:w="152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
        <w:gridCol w:w="1425"/>
        <w:gridCol w:w="1665"/>
        <w:gridCol w:w="4095"/>
        <w:gridCol w:w="2320"/>
        <w:gridCol w:w="5180"/>
      </w:tblGrid>
      <w:tr w:rsidR="00F5529D">
        <w:tc>
          <w:tcPr>
            <w:tcW w:w="15240" w:type="dxa"/>
            <w:gridSpan w:val="6"/>
            <w:shd w:val="clear" w:color="auto" w:fill="auto"/>
            <w:vAlign w:val="center"/>
          </w:tcPr>
          <w:p w:rsidR="00F5529D" w:rsidRDefault="008C3DDC">
            <w:pPr>
              <w:spacing w:before="120" w:after="120"/>
              <w:rPr>
                <w:rFonts w:ascii="Calibri" w:eastAsia="Calibri" w:hAnsi="Calibri" w:cs="Calibri"/>
                <w:b/>
              </w:rPr>
            </w:pPr>
            <w:r>
              <w:rPr>
                <w:rFonts w:ascii="Calibri" w:eastAsia="Calibri" w:hAnsi="Calibri" w:cs="Calibri"/>
                <w:b/>
                <w:i/>
                <w:sz w:val="22"/>
                <w:szCs w:val="22"/>
              </w:rPr>
              <w:t>Nazwa dokumentu</w:t>
            </w:r>
            <w:r>
              <w:rPr>
                <w:rFonts w:ascii="Calibri" w:eastAsia="Calibri" w:hAnsi="Calibri" w:cs="Calibri"/>
                <w:b/>
                <w:sz w:val="22"/>
                <w:szCs w:val="22"/>
              </w:rPr>
              <w:t xml:space="preserve">: </w:t>
            </w:r>
            <w:r>
              <w:rPr>
                <w:rFonts w:ascii="Calibri" w:eastAsia="Calibri" w:hAnsi="Calibri" w:cs="Calibri"/>
                <w:sz w:val="22"/>
                <w:szCs w:val="22"/>
              </w:rPr>
              <w:t>Opis założeń projektu informatycznego pn.:</w:t>
            </w:r>
            <w:r>
              <w:rPr>
                <w:rFonts w:ascii="Calibri" w:eastAsia="Calibri" w:hAnsi="Calibri" w:cs="Calibri"/>
                <w:b/>
                <w:sz w:val="22"/>
                <w:szCs w:val="22"/>
              </w:rPr>
              <w:t xml:space="preserve"> „Rozwój systemu monitoringu karier absolwentów i absolwentek szkół ponadpodstawowych</w:t>
            </w:r>
            <w:r>
              <w:rPr>
                <w:rFonts w:ascii="Calibri" w:eastAsia="Calibri" w:hAnsi="Calibri" w:cs="Calibri"/>
                <w:sz w:val="22"/>
                <w:szCs w:val="22"/>
              </w:rPr>
              <w:t>”</w:t>
            </w:r>
            <w:r>
              <w:rPr>
                <w:b/>
              </w:rPr>
              <w:t xml:space="preserve"> </w:t>
            </w:r>
            <w:r>
              <w:rPr>
                <w:rFonts w:ascii="Calibri" w:eastAsia="Calibri" w:hAnsi="Calibri" w:cs="Calibri"/>
                <w:sz w:val="22"/>
                <w:szCs w:val="22"/>
              </w:rPr>
              <w:t>- wnioskodawca Minister Edukacji, beneficjent Instytut Badań Edukacyjnych.</w:t>
            </w:r>
          </w:p>
        </w:tc>
      </w:tr>
      <w:tr w:rsidR="00F5529D" w:rsidTr="00421234">
        <w:tc>
          <w:tcPr>
            <w:tcW w:w="555" w:type="dxa"/>
            <w:shd w:val="clear" w:color="auto" w:fill="auto"/>
            <w:vAlign w:val="center"/>
          </w:tcPr>
          <w:p w:rsidR="00F5529D" w:rsidRDefault="008C3DDC">
            <w:pPr>
              <w:jc w:val="center"/>
              <w:rPr>
                <w:rFonts w:ascii="Calibri" w:eastAsia="Calibri" w:hAnsi="Calibri" w:cs="Calibri"/>
                <w:b/>
                <w:sz w:val="22"/>
                <w:szCs w:val="22"/>
              </w:rPr>
            </w:pPr>
            <w:r>
              <w:rPr>
                <w:rFonts w:ascii="Calibri" w:eastAsia="Calibri" w:hAnsi="Calibri" w:cs="Calibri"/>
                <w:b/>
                <w:sz w:val="22"/>
                <w:szCs w:val="22"/>
              </w:rPr>
              <w:t>Lp.</w:t>
            </w:r>
          </w:p>
        </w:tc>
        <w:tc>
          <w:tcPr>
            <w:tcW w:w="1425" w:type="dxa"/>
            <w:shd w:val="clear" w:color="auto" w:fill="auto"/>
            <w:vAlign w:val="center"/>
          </w:tcPr>
          <w:p w:rsidR="00F5529D" w:rsidRDefault="008C3DDC">
            <w:pPr>
              <w:jc w:val="center"/>
              <w:rPr>
                <w:rFonts w:ascii="Calibri" w:eastAsia="Calibri" w:hAnsi="Calibri" w:cs="Calibri"/>
                <w:b/>
                <w:sz w:val="22"/>
                <w:szCs w:val="22"/>
              </w:rPr>
            </w:pPr>
            <w:r>
              <w:rPr>
                <w:rFonts w:ascii="Calibri" w:eastAsia="Calibri" w:hAnsi="Calibri" w:cs="Calibri"/>
                <w:b/>
                <w:sz w:val="22"/>
                <w:szCs w:val="22"/>
              </w:rPr>
              <w:t>Organ wnoszący uwagi</w:t>
            </w:r>
          </w:p>
        </w:tc>
        <w:tc>
          <w:tcPr>
            <w:tcW w:w="1665" w:type="dxa"/>
            <w:shd w:val="clear" w:color="auto" w:fill="auto"/>
            <w:vAlign w:val="center"/>
          </w:tcPr>
          <w:p w:rsidR="00F5529D" w:rsidRDefault="008C3DDC">
            <w:pPr>
              <w:jc w:val="center"/>
              <w:rPr>
                <w:rFonts w:ascii="Calibri" w:eastAsia="Calibri" w:hAnsi="Calibri" w:cs="Calibri"/>
                <w:b/>
                <w:sz w:val="22"/>
                <w:szCs w:val="22"/>
              </w:rPr>
            </w:pPr>
            <w:r>
              <w:rPr>
                <w:rFonts w:ascii="Calibri" w:eastAsia="Calibri" w:hAnsi="Calibri" w:cs="Calibri"/>
                <w:b/>
                <w:sz w:val="22"/>
                <w:szCs w:val="22"/>
              </w:rPr>
              <w:t>Jednostka redakcyjna, do której wnoszone są uwagi</w:t>
            </w:r>
          </w:p>
        </w:tc>
        <w:tc>
          <w:tcPr>
            <w:tcW w:w="4095" w:type="dxa"/>
            <w:shd w:val="clear" w:color="auto" w:fill="auto"/>
            <w:vAlign w:val="center"/>
          </w:tcPr>
          <w:p w:rsidR="00F5529D" w:rsidRDefault="008C3DDC">
            <w:pPr>
              <w:jc w:val="center"/>
              <w:rPr>
                <w:rFonts w:ascii="Calibri" w:eastAsia="Calibri" w:hAnsi="Calibri" w:cs="Calibri"/>
                <w:b/>
                <w:sz w:val="22"/>
                <w:szCs w:val="22"/>
              </w:rPr>
            </w:pPr>
            <w:r>
              <w:rPr>
                <w:rFonts w:ascii="Calibri" w:eastAsia="Calibri" w:hAnsi="Calibri" w:cs="Calibri"/>
                <w:b/>
                <w:sz w:val="22"/>
                <w:szCs w:val="22"/>
              </w:rPr>
              <w:t>Treść uwagi</w:t>
            </w:r>
          </w:p>
        </w:tc>
        <w:tc>
          <w:tcPr>
            <w:tcW w:w="2320" w:type="dxa"/>
            <w:shd w:val="clear" w:color="auto" w:fill="auto"/>
            <w:vAlign w:val="center"/>
          </w:tcPr>
          <w:p w:rsidR="00F5529D" w:rsidRDefault="008C3DDC">
            <w:pPr>
              <w:jc w:val="center"/>
              <w:rPr>
                <w:rFonts w:ascii="Calibri" w:eastAsia="Calibri" w:hAnsi="Calibri" w:cs="Calibri"/>
                <w:b/>
                <w:sz w:val="22"/>
                <w:szCs w:val="22"/>
              </w:rPr>
            </w:pPr>
            <w:r>
              <w:rPr>
                <w:rFonts w:ascii="Calibri" w:eastAsia="Calibri" w:hAnsi="Calibri" w:cs="Calibri"/>
                <w:b/>
                <w:sz w:val="22"/>
                <w:szCs w:val="22"/>
              </w:rPr>
              <w:t>Propozycja zmian zapisu</w:t>
            </w:r>
          </w:p>
        </w:tc>
        <w:tc>
          <w:tcPr>
            <w:tcW w:w="5180" w:type="dxa"/>
            <w:vAlign w:val="center"/>
          </w:tcPr>
          <w:p w:rsidR="00F5529D" w:rsidRDefault="008C3DDC">
            <w:pPr>
              <w:jc w:val="center"/>
              <w:rPr>
                <w:rFonts w:ascii="Calibri" w:eastAsia="Calibri" w:hAnsi="Calibri" w:cs="Calibri"/>
                <w:b/>
                <w:sz w:val="22"/>
                <w:szCs w:val="22"/>
              </w:rPr>
            </w:pPr>
            <w:r>
              <w:rPr>
                <w:rFonts w:ascii="Calibri" w:eastAsia="Calibri" w:hAnsi="Calibri" w:cs="Calibri"/>
                <w:b/>
                <w:sz w:val="22"/>
                <w:szCs w:val="22"/>
              </w:rPr>
              <w:t>Odniesienie do uwagi</w:t>
            </w:r>
          </w:p>
        </w:tc>
      </w:tr>
      <w:tr w:rsidR="00F5529D" w:rsidTr="0042123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F5529D">
            <w:pPr>
              <w:numPr>
                <w:ilvl w:val="0"/>
                <w:numId w:val="3"/>
              </w:numPr>
              <w:pBdr>
                <w:top w:val="nil"/>
                <w:left w:val="nil"/>
                <w:bottom w:val="nil"/>
                <w:right w:val="nil"/>
                <w:between w:val="nil"/>
              </w:pBdr>
              <w:spacing w:before="120" w:after="120"/>
              <w:jc w:val="center"/>
              <w:rPr>
                <w:rFonts w:ascii="Calibri" w:eastAsia="Calibri" w:hAnsi="Calibri" w:cs="Calibri"/>
                <w:b/>
                <w:color w:val="000000"/>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spacing w:before="60" w:after="60"/>
              <w:jc w:val="center"/>
              <w:rPr>
                <w:rFonts w:ascii="Calibri" w:eastAsia="Calibri" w:hAnsi="Calibri" w:cs="Calibri"/>
                <w:b/>
                <w:sz w:val="22"/>
                <w:szCs w:val="22"/>
              </w:rPr>
            </w:pPr>
            <w:r>
              <w:rPr>
                <w:rFonts w:ascii="Calibri" w:eastAsia="Calibri" w:hAnsi="Calibri" w:cs="Calibri"/>
                <w:b/>
                <w:sz w:val="22"/>
                <w:szCs w:val="22"/>
              </w:rPr>
              <w:t>MC</w:t>
            </w:r>
          </w:p>
        </w:tc>
        <w:tc>
          <w:tcPr>
            <w:tcW w:w="166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jc w:val="center"/>
              <w:rPr>
                <w:rFonts w:ascii="Calibri" w:eastAsia="Calibri" w:hAnsi="Calibri" w:cs="Calibri"/>
                <w:color w:val="000000"/>
                <w:sz w:val="22"/>
                <w:szCs w:val="22"/>
              </w:rPr>
            </w:pPr>
            <w:r>
              <w:rPr>
                <w:rFonts w:ascii="Calibri" w:eastAsia="Calibri" w:hAnsi="Calibri" w:cs="Calibri"/>
                <w:color w:val="000000"/>
                <w:sz w:val="22"/>
                <w:szCs w:val="22"/>
              </w:rPr>
              <w:t>Uwaga ogólna</w:t>
            </w:r>
          </w:p>
          <w:p w:rsidR="00F5529D" w:rsidRDefault="00F5529D">
            <w:pPr>
              <w:jc w:val="center"/>
              <w:rPr>
                <w:rFonts w:ascii="Calibri" w:eastAsia="Calibri" w:hAnsi="Calibri" w:cs="Calibri"/>
                <w:sz w:val="22"/>
                <w:szCs w:val="22"/>
              </w:rPr>
            </w:pPr>
          </w:p>
        </w:tc>
        <w:tc>
          <w:tcPr>
            <w:tcW w:w="4095" w:type="dxa"/>
            <w:tcBorders>
              <w:top w:val="single" w:sz="4" w:space="0" w:color="000000"/>
              <w:left w:val="nil"/>
              <w:bottom w:val="single" w:sz="4" w:space="0" w:color="000000"/>
              <w:right w:val="single" w:sz="4" w:space="0" w:color="000000"/>
            </w:tcBorders>
            <w:shd w:val="clear" w:color="auto" w:fill="auto"/>
          </w:tcPr>
          <w:p w:rsidR="00F5529D" w:rsidRDefault="008C3DDC">
            <w:pPr>
              <w:rPr>
                <w:rFonts w:ascii="Calibri" w:eastAsia="Calibri" w:hAnsi="Calibri" w:cs="Calibri"/>
                <w:color w:val="000000"/>
                <w:sz w:val="22"/>
                <w:szCs w:val="22"/>
              </w:rPr>
            </w:pPr>
            <w:r>
              <w:rPr>
                <w:rFonts w:ascii="Calibri" w:eastAsia="Calibri" w:hAnsi="Calibri" w:cs="Calibri"/>
                <w:color w:val="000000"/>
                <w:sz w:val="22"/>
                <w:szCs w:val="22"/>
              </w:rPr>
              <w:t>Wskazanie wnioskodawcy i partnera projektu w całym dokumencie jest nieaktualne.</w:t>
            </w:r>
          </w:p>
        </w:tc>
        <w:tc>
          <w:tcPr>
            <w:tcW w:w="2320" w:type="dxa"/>
            <w:tcBorders>
              <w:top w:val="single" w:sz="4" w:space="0" w:color="000000"/>
              <w:left w:val="nil"/>
              <w:bottom w:val="single" w:sz="4" w:space="0" w:color="000000"/>
              <w:right w:val="single" w:sz="4" w:space="0" w:color="000000"/>
            </w:tcBorders>
            <w:shd w:val="clear" w:color="auto" w:fill="auto"/>
          </w:tcPr>
          <w:p w:rsidR="00F5529D" w:rsidRDefault="008C3DDC">
            <w:pPr>
              <w:rPr>
                <w:rFonts w:ascii="Calibri" w:eastAsia="Calibri" w:hAnsi="Calibri" w:cs="Calibri"/>
                <w:color w:val="000000"/>
                <w:sz w:val="22"/>
                <w:szCs w:val="22"/>
              </w:rPr>
            </w:pPr>
            <w:r>
              <w:rPr>
                <w:rFonts w:ascii="Calibri" w:eastAsia="Calibri" w:hAnsi="Calibri" w:cs="Calibri"/>
                <w:sz w:val="22"/>
                <w:szCs w:val="22"/>
              </w:rPr>
              <w:t>Proszę o analizę i korektę opisu.</w:t>
            </w:r>
          </w:p>
        </w:tc>
        <w:tc>
          <w:tcPr>
            <w:tcW w:w="5180" w:type="dxa"/>
            <w:tcBorders>
              <w:top w:val="single" w:sz="4" w:space="0" w:color="000000"/>
              <w:left w:val="single" w:sz="4" w:space="0" w:color="000000"/>
              <w:bottom w:val="single" w:sz="4" w:space="0" w:color="000000"/>
              <w:right w:val="single" w:sz="4" w:space="0" w:color="000000"/>
            </w:tcBorders>
          </w:tcPr>
          <w:p w:rsidR="00F5529D" w:rsidRDefault="008C3DDC">
            <w:pPr>
              <w:jc w:val="center"/>
              <w:rPr>
                <w:rFonts w:ascii="Calibri" w:eastAsia="Calibri" w:hAnsi="Calibri" w:cs="Calibri"/>
                <w:sz w:val="22"/>
                <w:szCs w:val="22"/>
              </w:rPr>
            </w:pPr>
            <w:r>
              <w:rPr>
                <w:rFonts w:ascii="Calibri" w:eastAsia="Calibri" w:hAnsi="Calibri" w:cs="Calibri"/>
                <w:sz w:val="22"/>
                <w:szCs w:val="22"/>
              </w:rPr>
              <w:t>Poprawiono.</w:t>
            </w:r>
          </w:p>
        </w:tc>
      </w:tr>
      <w:tr w:rsidR="00F5529D" w:rsidTr="0042123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F5529D">
            <w:pPr>
              <w:numPr>
                <w:ilvl w:val="0"/>
                <w:numId w:val="3"/>
              </w:numPr>
              <w:pBdr>
                <w:top w:val="nil"/>
                <w:left w:val="nil"/>
                <w:bottom w:val="nil"/>
                <w:right w:val="nil"/>
                <w:between w:val="nil"/>
              </w:pBdr>
              <w:spacing w:before="120" w:after="120"/>
              <w:jc w:val="center"/>
              <w:rPr>
                <w:rFonts w:ascii="Calibri" w:eastAsia="Calibri" w:hAnsi="Calibri" w:cs="Calibri"/>
                <w:b/>
                <w:color w:val="000000"/>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spacing w:before="60" w:after="60"/>
              <w:jc w:val="center"/>
              <w:rPr>
                <w:rFonts w:ascii="Calibri" w:eastAsia="Calibri" w:hAnsi="Calibri" w:cs="Calibri"/>
                <w:b/>
                <w:sz w:val="22"/>
                <w:szCs w:val="22"/>
              </w:rPr>
            </w:pPr>
            <w:r>
              <w:rPr>
                <w:rFonts w:ascii="Calibri" w:eastAsia="Calibri" w:hAnsi="Calibri" w:cs="Calibri"/>
                <w:b/>
                <w:sz w:val="22"/>
                <w:szCs w:val="22"/>
              </w:rPr>
              <w:t>MC</w:t>
            </w:r>
          </w:p>
        </w:tc>
        <w:tc>
          <w:tcPr>
            <w:tcW w:w="166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jc w:val="center"/>
              <w:rPr>
                <w:rFonts w:ascii="Calibri" w:eastAsia="Calibri" w:hAnsi="Calibri" w:cs="Calibri"/>
                <w:color w:val="000000"/>
                <w:sz w:val="22"/>
                <w:szCs w:val="22"/>
              </w:rPr>
            </w:pPr>
            <w:r>
              <w:rPr>
                <w:rFonts w:ascii="Calibri" w:eastAsia="Calibri" w:hAnsi="Calibri" w:cs="Calibri"/>
                <w:color w:val="000000"/>
                <w:sz w:val="22"/>
                <w:szCs w:val="22"/>
              </w:rPr>
              <w:t>Uwaga ogólna</w:t>
            </w:r>
          </w:p>
          <w:p w:rsidR="00F5529D" w:rsidRDefault="00F5529D">
            <w:pPr>
              <w:jc w:val="center"/>
              <w:rPr>
                <w:rFonts w:ascii="Calibri" w:eastAsia="Calibri" w:hAnsi="Calibri" w:cs="Calibri"/>
                <w:sz w:val="22"/>
                <w:szCs w:val="22"/>
              </w:rPr>
            </w:pPr>
          </w:p>
        </w:tc>
        <w:tc>
          <w:tcPr>
            <w:tcW w:w="4095" w:type="dxa"/>
            <w:tcBorders>
              <w:top w:val="single" w:sz="4" w:space="0" w:color="000000"/>
              <w:left w:val="nil"/>
              <w:bottom w:val="single" w:sz="4" w:space="0" w:color="000000"/>
              <w:right w:val="single" w:sz="4" w:space="0" w:color="000000"/>
            </w:tcBorders>
            <w:shd w:val="clear" w:color="auto" w:fill="auto"/>
          </w:tcPr>
          <w:p w:rsidR="00F5529D" w:rsidRDefault="008C3DDC">
            <w:pPr>
              <w:rPr>
                <w:rFonts w:ascii="Calibri" w:eastAsia="Calibri" w:hAnsi="Calibri" w:cs="Calibri"/>
                <w:color w:val="000000"/>
                <w:sz w:val="22"/>
                <w:szCs w:val="22"/>
              </w:rPr>
            </w:pPr>
            <w:r>
              <w:rPr>
                <w:rFonts w:ascii="Calibri" w:eastAsia="Calibri" w:hAnsi="Calibri" w:cs="Calibri"/>
                <w:color w:val="000000"/>
                <w:sz w:val="22"/>
                <w:szCs w:val="22"/>
              </w:rPr>
              <w:t xml:space="preserve">W celu określenia prawidłowości wyboru sposobu realizacji projektu konieczne jest wyjaśnienie braku wykorzystania usług </w:t>
            </w:r>
            <w:proofErr w:type="spellStart"/>
            <w:r>
              <w:rPr>
                <w:rFonts w:ascii="Calibri" w:eastAsia="Calibri" w:hAnsi="Calibri" w:cs="Calibri"/>
                <w:color w:val="000000"/>
                <w:sz w:val="22"/>
                <w:szCs w:val="22"/>
              </w:rPr>
              <w:t>RChO</w:t>
            </w:r>
            <w:proofErr w:type="spellEnd"/>
            <w:r>
              <w:rPr>
                <w:rFonts w:ascii="Calibri" w:eastAsia="Calibri" w:hAnsi="Calibri" w:cs="Calibri"/>
                <w:color w:val="000000"/>
                <w:sz w:val="22"/>
                <w:szCs w:val="22"/>
              </w:rPr>
              <w:t>, w miejsce zakupu własnej infrastruktury.</w:t>
            </w:r>
          </w:p>
        </w:tc>
        <w:tc>
          <w:tcPr>
            <w:tcW w:w="2320" w:type="dxa"/>
            <w:tcBorders>
              <w:top w:val="single" w:sz="4" w:space="0" w:color="000000"/>
              <w:left w:val="nil"/>
              <w:bottom w:val="single" w:sz="4" w:space="0" w:color="000000"/>
              <w:right w:val="single" w:sz="4" w:space="0" w:color="000000"/>
            </w:tcBorders>
            <w:shd w:val="clear" w:color="auto" w:fill="auto"/>
          </w:tcPr>
          <w:p w:rsidR="00F5529D" w:rsidRDefault="008C3DDC">
            <w:pPr>
              <w:rPr>
                <w:rFonts w:ascii="Calibri" w:eastAsia="Calibri" w:hAnsi="Calibri" w:cs="Calibri"/>
                <w:color w:val="000000"/>
                <w:sz w:val="22"/>
                <w:szCs w:val="22"/>
              </w:rPr>
            </w:pPr>
            <w:r>
              <w:rPr>
                <w:rFonts w:ascii="Calibri" w:eastAsia="Calibri" w:hAnsi="Calibri" w:cs="Calibri"/>
                <w:sz w:val="22"/>
                <w:szCs w:val="22"/>
              </w:rPr>
              <w:t>Proszę o analizę i odniesienie się, w formie wyjaśnienia, do zgłoszonej uw</w:t>
            </w:r>
            <w:r>
              <w:rPr>
                <w:rFonts w:ascii="Calibri" w:eastAsia="Calibri" w:hAnsi="Calibri" w:cs="Calibri"/>
                <w:sz w:val="22"/>
                <w:szCs w:val="22"/>
              </w:rPr>
              <w:t>agi.</w:t>
            </w:r>
          </w:p>
        </w:tc>
        <w:tc>
          <w:tcPr>
            <w:tcW w:w="5180" w:type="dxa"/>
            <w:tcBorders>
              <w:top w:val="single" w:sz="4" w:space="0" w:color="000000"/>
              <w:left w:val="single" w:sz="4" w:space="0" w:color="000000"/>
              <w:bottom w:val="single" w:sz="4" w:space="0" w:color="000000"/>
              <w:right w:val="single" w:sz="4" w:space="0" w:color="000000"/>
            </w:tcBorders>
          </w:tcPr>
          <w:p w:rsidR="00F5529D" w:rsidRDefault="008C3DDC">
            <w:pPr>
              <w:rPr>
                <w:rFonts w:ascii="Calibri" w:eastAsia="Calibri" w:hAnsi="Calibri" w:cs="Calibri"/>
                <w:sz w:val="22"/>
                <w:szCs w:val="22"/>
              </w:rPr>
            </w:pPr>
            <w:r>
              <w:rPr>
                <w:rFonts w:ascii="Calibri" w:eastAsia="Calibri" w:hAnsi="Calibri" w:cs="Calibri"/>
                <w:sz w:val="22"/>
                <w:szCs w:val="22"/>
              </w:rPr>
              <w:t>Monitoringu karier absolwentów szkół ponadpodstawowych opiera się na danych Systemu Informacji Oświatowej, które pozwalają na identyfikację absolwentów szkół. Za pozyskiwanie i przetwarzanie danych administracyjnych wykorzystywanych w monitoringu odpo</w:t>
            </w:r>
            <w:r>
              <w:rPr>
                <w:rFonts w:ascii="Calibri" w:eastAsia="Calibri" w:hAnsi="Calibri" w:cs="Calibri"/>
                <w:sz w:val="22"/>
                <w:szCs w:val="22"/>
              </w:rPr>
              <w:t xml:space="preserve">wiada Centrum Informatyczne Edukacji, operator SIO. System Informacji Oświatowej w warstwie analitycznej korzysta z rozwiązań SAS </w:t>
            </w:r>
            <w:proofErr w:type="spellStart"/>
            <w:r>
              <w:rPr>
                <w:rFonts w:ascii="Calibri" w:eastAsia="Calibri" w:hAnsi="Calibri" w:cs="Calibri"/>
                <w:sz w:val="22"/>
                <w:szCs w:val="22"/>
              </w:rPr>
              <w:t>Institute</w:t>
            </w:r>
            <w:proofErr w:type="spellEnd"/>
            <w:r>
              <w:rPr>
                <w:rFonts w:ascii="Calibri" w:eastAsia="Calibri" w:hAnsi="Calibri" w:cs="Calibri"/>
                <w:sz w:val="22"/>
                <w:szCs w:val="22"/>
              </w:rPr>
              <w:t>, które stwarzają bardzo duże możliwości w zakresie analizy statycznej i raportowania wyników analiz. Ze względu na c</w:t>
            </w:r>
            <w:r>
              <w:rPr>
                <w:rFonts w:ascii="Calibri" w:eastAsia="Calibri" w:hAnsi="Calibri" w:cs="Calibri"/>
                <w:sz w:val="22"/>
                <w:szCs w:val="22"/>
              </w:rPr>
              <w:t>harakter danych system SIO oraz warstwa analityczna są utrzymywane w serwerowni obsługiwanej przez pracowników CIE. W projekcie dotyczącym rozwoju systemu monitoringu karier absolwentów i absolwentek szkół ponadpodstawowych zaplanowano wykorzystanie oraz r</w:t>
            </w:r>
            <w:r>
              <w:rPr>
                <w:rFonts w:ascii="Calibri" w:eastAsia="Calibri" w:hAnsi="Calibri" w:cs="Calibri"/>
                <w:sz w:val="22"/>
                <w:szCs w:val="22"/>
              </w:rPr>
              <w:t>ozbudowanie tych samych rozwiązań do przetwarzania i raportowania wyników monitoringu. Takie rozwiązanie jest efektywne i spójne z kierunkiem rozwoju systemów informatycznych wykorzystywanych w oświacie.</w:t>
            </w:r>
          </w:p>
        </w:tc>
      </w:tr>
      <w:tr w:rsidR="00F5529D" w:rsidTr="0042123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F5529D">
            <w:pPr>
              <w:numPr>
                <w:ilvl w:val="0"/>
                <w:numId w:val="3"/>
              </w:numPr>
              <w:pBdr>
                <w:top w:val="nil"/>
                <w:left w:val="nil"/>
                <w:bottom w:val="nil"/>
                <w:right w:val="nil"/>
                <w:between w:val="nil"/>
              </w:pBdr>
              <w:spacing w:before="120" w:after="120"/>
              <w:jc w:val="center"/>
              <w:rPr>
                <w:rFonts w:ascii="Calibri" w:eastAsia="Calibri" w:hAnsi="Calibri" w:cs="Calibri"/>
                <w:b/>
                <w:color w:val="000000"/>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spacing w:before="60" w:after="60"/>
              <w:jc w:val="center"/>
              <w:rPr>
                <w:rFonts w:ascii="Calibri" w:eastAsia="Calibri" w:hAnsi="Calibri" w:cs="Calibri"/>
                <w:b/>
                <w:sz w:val="22"/>
                <w:szCs w:val="22"/>
              </w:rPr>
            </w:pPr>
            <w:r>
              <w:rPr>
                <w:rFonts w:ascii="Calibri" w:eastAsia="Calibri" w:hAnsi="Calibri" w:cs="Calibri"/>
                <w:b/>
                <w:sz w:val="22"/>
                <w:szCs w:val="22"/>
              </w:rPr>
              <w:t>MC</w:t>
            </w:r>
          </w:p>
        </w:tc>
        <w:tc>
          <w:tcPr>
            <w:tcW w:w="166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jc w:val="center"/>
              <w:rPr>
                <w:rFonts w:ascii="Calibri" w:eastAsia="Calibri" w:hAnsi="Calibri" w:cs="Calibri"/>
                <w:color w:val="000000"/>
                <w:sz w:val="22"/>
                <w:szCs w:val="22"/>
              </w:rPr>
            </w:pPr>
            <w:r>
              <w:rPr>
                <w:rFonts w:ascii="Calibri" w:eastAsia="Calibri" w:hAnsi="Calibri" w:cs="Calibri"/>
                <w:color w:val="000000"/>
                <w:sz w:val="22"/>
                <w:szCs w:val="22"/>
              </w:rPr>
              <w:t xml:space="preserve">2.1. Cele i korzyści </w:t>
            </w:r>
            <w:r>
              <w:rPr>
                <w:rFonts w:ascii="Calibri" w:eastAsia="Calibri" w:hAnsi="Calibri" w:cs="Calibri"/>
                <w:color w:val="000000"/>
                <w:sz w:val="22"/>
                <w:szCs w:val="22"/>
              </w:rPr>
              <w:lastRenderedPageBreak/>
              <w:t>wynikające z projektu</w:t>
            </w:r>
          </w:p>
        </w:tc>
        <w:tc>
          <w:tcPr>
            <w:tcW w:w="4095" w:type="dxa"/>
            <w:tcBorders>
              <w:top w:val="single" w:sz="4" w:space="0" w:color="000000"/>
              <w:left w:val="nil"/>
              <w:bottom w:val="single" w:sz="4" w:space="0" w:color="000000"/>
              <w:right w:val="single" w:sz="4" w:space="0" w:color="000000"/>
            </w:tcBorders>
            <w:shd w:val="clear" w:color="auto" w:fill="auto"/>
          </w:tcPr>
          <w:p w:rsidR="00F5529D" w:rsidRDefault="008C3DDC">
            <w:pPr>
              <w:rPr>
                <w:rFonts w:ascii="Calibri" w:eastAsia="Calibri" w:hAnsi="Calibri" w:cs="Calibri"/>
                <w:color w:val="000000"/>
                <w:sz w:val="22"/>
                <w:szCs w:val="22"/>
              </w:rPr>
            </w:pPr>
            <w:r>
              <w:rPr>
                <w:rFonts w:ascii="Calibri" w:eastAsia="Calibri" w:hAnsi="Calibri" w:cs="Calibri"/>
                <w:color w:val="000000"/>
                <w:sz w:val="22"/>
                <w:szCs w:val="22"/>
              </w:rPr>
              <w:lastRenderedPageBreak/>
              <w:t>Dla celu nr 1 określono wartość wskaźnika powiązanego z modułami do</w:t>
            </w:r>
          </w:p>
          <w:p w:rsidR="00F5529D" w:rsidRDefault="008C3DDC">
            <w:pPr>
              <w:rPr>
                <w:rFonts w:ascii="Calibri" w:eastAsia="Calibri" w:hAnsi="Calibri" w:cs="Calibri"/>
                <w:color w:val="000000"/>
                <w:sz w:val="22"/>
                <w:szCs w:val="22"/>
              </w:rPr>
            </w:pPr>
            <w:r>
              <w:rPr>
                <w:rFonts w:ascii="Calibri" w:eastAsia="Calibri" w:hAnsi="Calibri" w:cs="Calibri"/>
                <w:color w:val="000000"/>
                <w:sz w:val="22"/>
                <w:szCs w:val="22"/>
              </w:rPr>
              <w:lastRenderedPageBreak/>
              <w:t>samodzielnego generowania raportów dla różnych grup użytkowników n poziomi 5, podczas gdy w pkt 1.1 oraz 7.1 podano informację o 6 modułach.</w:t>
            </w:r>
          </w:p>
        </w:tc>
        <w:tc>
          <w:tcPr>
            <w:tcW w:w="2320" w:type="dxa"/>
            <w:tcBorders>
              <w:top w:val="single" w:sz="4" w:space="0" w:color="000000"/>
              <w:left w:val="nil"/>
              <w:bottom w:val="single" w:sz="4" w:space="0" w:color="000000"/>
              <w:right w:val="single" w:sz="4" w:space="0" w:color="000000"/>
            </w:tcBorders>
            <w:shd w:val="clear" w:color="auto" w:fill="auto"/>
          </w:tcPr>
          <w:p w:rsidR="00F5529D" w:rsidRDefault="008C3DDC">
            <w:pPr>
              <w:rPr>
                <w:rFonts w:ascii="Calibri" w:eastAsia="Calibri" w:hAnsi="Calibri" w:cs="Calibri"/>
                <w:sz w:val="22"/>
                <w:szCs w:val="22"/>
              </w:rPr>
            </w:pPr>
            <w:r>
              <w:rPr>
                <w:rFonts w:ascii="Calibri" w:eastAsia="Calibri" w:hAnsi="Calibri" w:cs="Calibri"/>
                <w:sz w:val="22"/>
                <w:szCs w:val="22"/>
              </w:rPr>
              <w:lastRenderedPageBreak/>
              <w:t>Proszę o analizę i korektę opisu.</w:t>
            </w:r>
          </w:p>
        </w:tc>
        <w:tc>
          <w:tcPr>
            <w:tcW w:w="5180" w:type="dxa"/>
            <w:tcBorders>
              <w:top w:val="single" w:sz="4" w:space="0" w:color="000000"/>
              <w:left w:val="single" w:sz="4" w:space="0" w:color="000000"/>
              <w:bottom w:val="single" w:sz="4" w:space="0" w:color="000000"/>
              <w:right w:val="single" w:sz="4" w:space="0" w:color="000000"/>
            </w:tcBorders>
          </w:tcPr>
          <w:p w:rsidR="00F5529D" w:rsidRDefault="008C3DDC">
            <w:pPr>
              <w:rPr>
                <w:rFonts w:ascii="Calibri" w:eastAsia="Calibri" w:hAnsi="Calibri" w:cs="Calibri"/>
                <w:sz w:val="22"/>
                <w:szCs w:val="22"/>
              </w:rPr>
            </w:pPr>
            <w:r>
              <w:rPr>
                <w:rFonts w:ascii="Calibri" w:eastAsia="Calibri" w:hAnsi="Calibri" w:cs="Calibri"/>
                <w:sz w:val="22"/>
                <w:szCs w:val="22"/>
              </w:rPr>
              <w:t>Zapewne doszł</w:t>
            </w:r>
            <w:r>
              <w:rPr>
                <w:rFonts w:ascii="Calibri" w:eastAsia="Calibri" w:hAnsi="Calibri" w:cs="Calibri"/>
                <w:sz w:val="22"/>
                <w:szCs w:val="22"/>
              </w:rPr>
              <w:t xml:space="preserve">o do nieporozumienia gdyż w punkcie 2.1: KPI nie wspomniano o modułach. Opisywane w nim są nowe kategorie </w:t>
            </w:r>
            <w:r>
              <w:rPr>
                <w:rFonts w:ascii="Calibri" w:eastAsia="Calibri" w:hAnsi="Calibri" w:cs="Calibri"/>
                <w:b/>
                <w:sz w:val="22"/>
                <w:szCs w:val="22"/>
              </w:rPr>
              <w:t xml:space="preserve">absolwentów objętych </w:t>
            </w:r>
            <w:r>
              <w:rPr>
                <w:rFonts w:ascii="Calibri" w:eastAsia="Calibri" w:hAnsi="Calibri" w:cs="Calibri"/>
                <w:b/>
                <w:sz w:val="22"/>
                <w:szCs w:val="22"/>
              </w:rPr>
              <w:lastRenderedPageBreak/>
              <w:t>monitoringiem</w:t>
            </w:r>
            <w:r>
              <w:rPr>
                <w:rFonts w:ascii="Calibri" w:eastAsia="Calibri" w:hAnsi="Calibri" w:cs="Calibri"/>
                <w:sz w:val="22"/>
                <w:szCs w:val="22"/>
              </w:rPr>
              <w:t xml:space="preserve"> (możliwych do identyfikacji w ramach przetwarzanych danych w celu raportowania wyników opisujących daną konkretną k</w:t>
            </w:r>
            <w:r>
              <w:rPr>
                <w:rFonts w:ascii="Calibri" w:eastAsia="Calibri" w:hAnsi="Calibri" w:cs="Calibri"/>
                <w:sz w:val="22"/>
                <w:szCs w:val="22"/>
              </w:rPr>
              <w:t xml:space="preserve">ategorię). Z kolei moduły Portalu Monitoringu Karier odnoszą się do liczby kategorii </w:t>
            </w:r>
            <w:r>
              <w:rPr>
                <w:rFonts w:ascii="Calibri" w:eastAsia="Calibri" w:hAnsi="Calibri" w:cs="Calibri"/>
                <w:b/>
                <w:sz w:val="22"/>
                <w:szCs w:val="22"/>
              </w:rPr>
              <w:t>odbiorców</w:t>
            </w:r>
            <w:r>
              <w:rPr>
                <w:rFonts w:ascii="Calibri" w:eastAsia="Calibri" w:hAnsi="Calibri" w:cs="Calibri"/>
                <w:sz w:val="22"/>
                <w:szCs w:val="22"/>
              </w:rPr>
              <w:t xml:space="preserve"> (interesariuszy systemu), dla których przygotowane zostaną dedykowane raporty, odpowiadające ich potrzebom informacyjnym.</w:t>
            </w:r>
          </w:p>
          <w:p w:rsidR="00F5529D" w:rsidRDefault="00F5529D">
            <w:pPr>
              <w:rPr>
                <w:rFonts w:ascii="Calibri" w:eastAsia="Calibri" w:hAnsi="Calibri" w:cs="Calibri"/>
                <w:sz w:val="22"/>
                <w:szCs w:val="22"/>
              </w:rPr>
            </w:pPr>
          </w:p>
          <w:p w:rsidR="00F5529D" w:rsidRDefault="008C3DDC">
            <w:pPr>
              <w:rPr>
                <w:rFonts w:ascii="Calibri" w:eastAsia="Calibri" w:hAnsi="Calibri" w:cs="Calibri"/>
                <w:sz w:val="22"/>
                <w:szCs w:val="22"/>
              </w:rPr>
            </w:pPr>
            <w:r>
              <w:rPr>
                <w:rFonts w:ascii="Calibri" w:eastAsia="Calibri" w:hAnsi="Calibri" w:cs="Calibri"/>
                <w:sz w:val="22"/>
                <w:szCs w:val="22"/>
              </w:rPr>
              <w:t xml:space="preserve">KPI w liczbie 5 odnoszą się do pięciu </w:t>
            </w:r>
            <w:r>
              <w:rPr>
                <w:rFonts w:ascii="Calibri" w:eastAsia="Calibri" w:hAnsi="Calibri" w:cs="Calibri"/>
                <w:sz w:val="22"/>
                <w:szCs w:val="22"/>
              </w:rPr>
              <w:t>nowych (w stosunku do obecnie funkcjonującego monitoringu karier) kategorii absolwentów, którzy zostaną zidentyfikowani dzięki działaniom realizowanym w projekcie. Te grupy to (obecnie w systemie monitoringu brak jest istotnych informacji o tych osobach lu</w:t>
            </w:r>
            <w:r>
              <w:rPr>
                <w:rFonts w:ascii="Calibri" w:eastAsia="Calibri" w:hAnsi="Calibri" w:cs="Calibri"/>
                <w:sz w:val="22"/>
                <w:szCs w:val="22"/>
              </w:rPr>
              <w:t>b nie istnieje możliwość określenia przynależności absolwenta do danej kategorii):</w:t>
            </w:r>
          </w:p>
          <w:p w:rsidR="00F5529D" w:rsidRDefault="008C3DDC">
            <w:pPr>
              <w:numPr>
                <w:ilvl w:val="0"/>
                <w:numId w:val="1"/>
              </w:numPr>
              <w:rPr>
                <w:rFonts w:ascii="Calibri" w:eastAsia="Calibri" w:hAnsi="Calibri" w:cs="Calibri"/>
                <w:sz w:val="22"/>
                <w:szCs w:val="22"/>
              </w:rPr>
            </w:pPr>
            <w:r>
              <w:rPr>
                <w:rFonts w:ascii="Calibri" w:eastAsia="Calibri" w:hAnsi="Calibri" w:cs="Calibri"/>
                <w:sz w:val="22"/>
                <w:szCs w:val="22"/>
              </w:rPr>
              <w:t>absolwenci rzemiosła,</w:t>
            </w:r>
          </w:p>
          <w:p w:rsidR="00F5529D" w:rsidRDefault="008C3DDC">
            <w:pPr>
              <w:numPr>
                <w:ilvl w:val="0"/>
                <w:numId w:val="1"/>
              </w:numPr>
              <w:rPr>
                <w:rFonts w:ascii="Calibri" w:eastAsia="Calibri" w:hAnsi="Calibri" w:cs="Calibri"/>
                <w:sz w:val="22"/>
                <w:szCs w:val="22"/>
              </w:rPr>
            </w:pPr>
            <w:r>
              <w:rPr>
                <w:rFonts w:ascii="Calibri" w:eastAsia="Calibri" w:hAnsi="Calibri" w:cs="Calibri"/>
                <w:sz w:val="22"/>
                <w:szCs w:val="22"/>
              </w:rPr>
              <w:t>uczestnicy Ochotniczych Hufców Pracy,</w:t>
            </w:r>
          </w:p>
          <w:p w:rsidR="00F5529D" w:rsidRDefault="008C3DDC">
            <w:pPr>
              <w:numPr>
                <w:ilvl w:val="0"/>
                <w:numId w:val="1"/>
              </w:numPr>
              <w:rPr>
                <w:rFonts w:ascii="Calibri" w:eastAsia="Calibri" w:hAnsi="Calibri" w:cs="Calibri"/>
                <w:sz w:val="22"/>
                <w:szCs w:val="22"/>
              </w:rPr>
            </w:pPr>
            <w:r>
              <w:rPr>
                <w:rFonts w:ascii="Calibri" w:eastAsia="Calibri" w:hAnsi="Calibri" w:cs="Calibri"/>
                <w:sz w:val="22"/>
                <w:szCs w:val="22"/>
              </w:rPr>
              <w:t>uczniowie z orzeczeniami o potrzebie kształcenia specjalnego,</w:t>
            </w:r>
          </w:p>
          <w:p w:rsidR="00F5529D" w:rsidRDefault="008C3DDC">
            <w:pPr>
              <w:numPr>
                <w:ilvl w:val="0"/>
                <w:numId w:val="1"/>
              </w:numPr>
              <w:rPr>
                <w:rFonts w:ascii="Calibri" w:eastAsia="Calibri" w:hAnsi="Calibri" w:cs="Calibri"/>
                <w:sz w:val="22"/>
                <w:szCs w:val="22"/>
              </w:rPr>
            </w:pPr>
            <w:r>
              <w:rPr>
                <w:rFonts w:ascii="Calibri" w:eastAsia="Calibri" w:hAnsi="Calibri" w:cs="Calibri"/>
                <w:sz w:val="22"/>
                <w:szCs w:val="22"/>
              </w:rPr>
              <w:t>cudzoziemcy, w tym uchodźcy z Ukrainy,</w:t>
            </w:r>
          </w:p>
          <w:p w:rsidR="00F5529D" w:rsidRDefault="008C3DDC">
            <w:pPr>
              <w:numPr>
                <w:ilvl w:val="0"/>
                <w:numId w:val="1"/>
              </w:numPr>
              <w:rPr>
                <w:rFonts w:ascii="Calibri" w:eastAsia="Calibri" w:hAnsi="Calibri" w:cs="Calibri"/>
                <w:sz w:val="22"/>
                <w:szCs w:val="22"/>
              </w:rPr>
            </w:pPr>
            <w:r>
              <w:rPr>
                <w:rFonts w:ascii="Calibri" w:eastAsia="Calibri" w:hAnsi="Calibri" w:cs="Calibri"/>
                <w:sz w:val="22"/>
                <w:szCs w:val="22"/>
              </w:rPr>
              <w:t>osoby przedw</w:t>
            </w:r>
            <w:r>
              <w:rPr>
                <w:rFonts w:ascii="Calibri" w:eastAsia="Calibri" w:hAnsi="Calibri" w:cs="Calibri"/>
                <w:sz w:val="22"/>
                <w:szCs w:val="22"/>
              </w:rPr>
              <w:t>cześnie przerywające edukację.</w:t>
            </w:r>
          </w:p>
          <w:p w:rsidR="00F5529D" w:rsidRDefault="008C3DDC">
            <w:pPr>
              <w:rPr>
                <w:rFonts w:ascii="Calibri" w:eastAsia="Calibri" w:hAnsi="Calibri" w:cs="Calibri"/>
                <w:sz w:val="22"/>
                <w:szCs w:val="22"/>
              </w:rPr>
            </w:pPr>
            <w:r>
              <w:rPr>
                <w:rFonts w:ascii="Calibri" w:eastAsia="Calibri" w:hAnsi="Calibri" w:cs="Calibri"/>
                <w:sz w:val="22"/>
                <w:szCs w:val="22"/>
              </w:rPr>
              <w:t>Uchodźcy z Ukrainy nie są traktowani jako osobna kategoria absolwentów od pozostałych cudzoziemców.</w:t>
            </w:r>
          </w:p>
          <w:p w:rsidR="00F5529D" w:rsidRDefault="00F5529D">
            <w:pPr>
              <w:rPr>
                <w:rFonts w:ascii="Calibri" w:eastAsia="Calibri" w:hAnsi="Calibri" w:cs="Calibri"/>
                <w:sz w:val="22"/>
                <w:szCs w:val="22"/>
              </w:rPr>
            </w:pPr>
          </w:p>
          <w:p w:rsidR="00F5529D" w:rsidRDefault="008C3DDC">
            <w:pPr>
              <w:rPr>
                <w:rFonts w:ascii="Calibri" w:eastAsia="Calibri" w:hAnsi="Calibri" w:cs="Calibri"/>
                <w:sz w:val="22"/>
                <w:szCs w:val="22"/>
              </w:rPr>
            </w:pPr>
            <w:r>
              <w:rPr>
                <w:rFonts w:ascii="Calibri" w:eastAsia="Calibri" w:hAnsi="Calibri" w:cs="Calibri"/>
                <w:sz w:val="22"/>
                <w:szCs w:val="22"/>
              </w:rPr>
              <w:t>Z kolei 6 modułów raportów dedykowanych dla różnych grup użytkowników odnosi się do 6 grup odbiorców projektu:</w:t>
            </w:r>
          </w:p>
          <w:p w:rsidR="00F5529D" w:rsidRDefault="008C3DDC">
            <w:pPr>
              <w:numPr>
                <w:ilvl w:val="0"/>
                <w:numId w:val="2"/>
              </w:numPr>
              <w:rPr>
                <w:rFonts w:ascii="Calibri" w:eastAsia="Calibri" w:hAnsi="Calibri" w:cs="Calibri"/>
                <w:sz w:val="22"/>
                <w:szCs w:val="22"/>
              </w:rPr>
            </w:pPr>
            <w:r>
              <w:rPr>
                <w:rFonts w:ascii="Calibri" w:eastAsia="Calibri" w:hAnsi="Calibri" w:cs="Calibri"/>
                <w:sz w:val="22"/>
                <w:szCs w:val="22"/>
              </w:rPr>
              <w:t>minister właś</w:t>
            </w:r>
            <w:r>
              <w:rPr>
                <w:rFonts w:ascii="Calibri" w:eastAsia="Calibri" w:hAnsi="Calibri" w:cs="Calibri"/>
                <w:sz w:val="22"/>
                <w:szCs w:val="22"/>
              </w:rPr>
              <w:t>ciwy ds. oświaty i organy nadzoru,</w:t>
            </w:r>
          </w:p>
          <w:p w:rsidR="00F5529D" w:rsidRDefault="008C3DDC">
            <w:pPr>
              <w:numPr>
                <w:ilvl w:val="0"/>
                <w:numId w:val="2"/>
              </w:numPr>
              <w:rPr>
                <w:rFonts w:ascii="Calibri" w:eastAsia="Calibri" w:hAnsi="Calibri" w:cs="Calibri"/>
                <w:sz w:val="22"/>
                <w:szCs w:val="22"/>
              </w:rPr>
            </w:pPr>
            <w:r>
              <w:rPr>
                <w:rFonts w:ascii="Calibri" w:eastAsia="Calibri" w:hAnsi="Calibri" w:cs="Calibri"/>
                <w:sz w:val="22"/>
                <w:szCs w:val="22"/>
              </w:rPr>
              <w:t>organy prowadzące szkoły,</w:t>
            </w:r>
          </w:p>
          <w:p w:rsidR="00F5529D" w:rsidRDefault="008C3DDC">
            <w:pPr>
              <w:numPr>
                <w:ilvl w:val="0"/>
                <w:numId w:val="2"/>
              </w:numPr>
              <w:rPr>
                <w:rFonts w:ascii="Calibri" w:eastAsia="Calibri" w:hAnsi="Calibri" w:cs="Calibri"/>
                <w:sz w:val="22"/>
                <w:szCs w:val="22"/>
              </w:rPr>
            </w:pPr>
            <w:r>
              <w:rPr>
                <w:rFonts w:ascii="Calibri" w:eastAsia="Calibri" w:hAnsi="Calibri" w:cs="Calibri"/>
                <w:sz w:val="22"/>
                <w:szCs w:val="22"/>
              </w:rPr>
              <w:t>pracodawcy i instytucje rynku pracy,</w:t>
            </w:r>
          </w:p>
          <w:p w:rsidR="00F5529D" w:rsidRDefault="008C3DDC">
            <w:pPr>
              <w:numPr>
                <w:ilvl w:val="0"/>
                <w:numId w:val="2"/>
              </w:numPr>
              <w:rPr>
                <w:rFonts w:ascii="Calibri" w:eastAsia="Calibri" w:hAnsi="Calibri" w:cs="Calibri"/>
                <w:sz w:val="22"/>
                <w:szCs w:val="22"/>
              </w:rPr>
            </w:pPr>
            <w:r>
              <w:rPr>
                <w:rFonts w:ascii="Calibri" w:eastAsia="Calibri" w:hAnsi="Calibri" w:cs="Calibri"/>
                <w:sz w:val="22"/>
                <w:szCs w:val="22"/>
              </w:rPr>
              <w:t>rodzice i uczniowie,</w:t>
            </w:r>
          </w:p>
          <w:p w:rsidR="00F5529D" w:rsidRDefault="008C3DDC">
            <w:pPr>
              <w:numPr>
                <w:ilvl w:val="0"/>
                <w:numId w:val="2"/>
              </w:numPr>
              <w:rPr>
                <w:rFonts w:ascii="Calibri" w:eastAsia="Calibri" w:hAnsi="Calibri" w:cs="Calibri"/>
                <w:sz w:val="22"/>
                <w:szCs w:val="22"/>
              </w:rPr>
            </w:pPr>
            <w:r>
              <w:rPr>
                <w:rFonts w:ascii="Calibri" w:eastAsia="Calibri" w:hAnsi="Calibri" w:cs="Calibri"/>
                <w:sz w:val="22"/>
                <w:szCs w:val="22"/>
              </w:rPr>
              <w:t>naukowcy i badacze,</w:t>
            </w:r>
          </w:p>
          <w:p w:rsidR="00F5529D" w:rsidRDefault="008C3DDC">
            <w:pPr>
              <w:numPr>
                <w:ilvl w:val="0"/>
                <w:numId w:val="2"/>
              </w:numPr>
              <w:rPr>
                <w:rFonts w:ascii="Calibri" w:eastAsia="Calibri" w:hAnsi="Calibri" w:cs="Calibri"/>
                <w:sz w:val="22"/>
                <w:szCs w:val="22"/>
              </w:rPr>
            </w:pPr>
            <w:proofErr w:type="spellStart"/>
            <w:r>
              <w:rPr>
                <w:rFonts w:ascii="Calibri" w:eastAsia="Calibri" w:hAnsi="Calibri" w:cs="Calibri"/>
                <w:sz w:val="22"/>
                <w:szCs w:val="22"/>
              </w:rPr>
              <w:t>NGOs</w:t>
            </w:r>
            <w:proofErr w:type="spellEnd"/>
            <w:r>
              <w:rPr>
                <w:rFonts w:ascii="Calibri" w:eastAsia="Calibri" w:hAnsi="Calibri" w:cs="Calibri"/>
                <w:sz w:val="22"/>
                <w:szCs w:val="22"/>
              </w:rPr>
              <w:t>.</w:t>
            </w:r>
          </w:p>
        </w:tc>
      </w:tr>
      <w:tr w:rsidR="00F5529D" w:rsidTr="0042123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F5529D">
            <w:pPr>
              <w:numPr>
                <w:ilvl w:val="0"/>
                <w:numId w:val="3"/>
              </w:numPr>
              <w:pBdr>
                <w:top w:val="nil"/>
                <w:left w:val="nil"/>
                <w:bottom w:val="nil"/>
                <w:right w:val="nil"/>
                <w:between w:val="nil"/>
              </w:pBdr>
              <w:spacing w:before="120" w:after="120"/>
              <w:jc w:val="center"/>
              <w:rPr>
                <w:rFonts w:ascii="Calibri" w:eastAsia="Calibri" w:hAnsi="Calibri" w:cs="Calibri"/>
                <w:b/>
                <w:color w:val="000000"/>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spacing w:before="60" w:after="60"/>
              <w:jc w:val="center"/>
              <w:rPr>
                <w:rFonts w:ascii="Calibri" w:eastAsia="Calibri" w:hAnsi="Calibri" w:cs="Calibri"/>
                <w:b/>
                <w:sz w:val="22"/>
                <w:szCs w:val="22"/>
              </w:rPr>
            </w:pPr>
            <w:r>
              <w:rPr>
                <w:rFonts w:ascii="Calibri" w:eastAsia="Calibri" w:hAnsi="Calibri" w:cs="Calibri"/>
                <w:b/>
                <w:sz w:val="22"/>
                <w:szCs w:val="22"/>
              </w:rPr>
              <w:t>MC</w:t>
            </w:r>
          </w:p>
        </w:tc>
        <w:tc>
          <w:tcPr>
            <w:tcW w:w="166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jc w:val="center"/>
              <w:rPr>
                <w:rFonts w:ascii="Calibri" w:eastAsia="Calibri" w:hAnsi="Calibri" w:cs="Calibri"/>
                <w:color w:val="000000"/>
                <w:sz w:val="22"/>
                <w:szCs w:val="22"/>
              </w:rPr>
            </w:pPr>
            <w:r>
              <w:rPr>
                <w:rFonts w:ascii="Calibri" w:eastAsia="Calibri" w:hAnsi="Calibri" w:cs="Calibri"/>
                <w:color w:val="000000"/>
                <w:sz w:val="22"/>
                <w:szCs w:val="22"/>
              </w:rPr>
              <w:t>4.2. Wykaz poszczególnych pozycji kosztowych</w:t>
            </w:r>
          </w:p>
        </w:tc>
        <w:tc>
          <w:tcPr>
            <w:tcW w:w="4095" w:type="dxa"/>
            <w:tcBorders>
              <w:top w:val="single" w:sz="4" w:space="0" w:color="000000"/>
              <w:left w:val="nil"/>
              <w:bottom w:val="single" w:sz="4" w:space="0" w:color="000000"/>
              <w:right w:val="single" w:sz="4" w:space="0" w:color="000000"/>
            </w:tcBorders>
            <w:shd w:val="clear" w:color="auto" w:fill="auto"/>
          </w:tcPr>
          <w:p w:rsidR="00F5529D" w:rsidRDefault="008C3DDC">
            <w:pPr>
              <w:spacing w:line="259" w:lineRule="auto"/>
              <w:rPr>
                <w:rFonts w:ascii="Calibri" w:eastAsia="Calibri" w:hAnsi="Calibri" w:cs="Calibri"/>
                <w:color w:val="000000"/>
                <w:sz w:val="22"/>
                <w:szCs w:val="22"/>
              </w:rPr>
            </w:pPr>
            <w:r>
              <w:rPr>
                <w:rFonts w:ascii="Calibri" w:eastAsia="Calibri" w:hAnsi="Calibri" w:cs="Calibri"/>
                <w:color w:val="000000"/>
                <w:sz w:val="22"/>
                <w:szCs w:val="22"/>
              </w:rPr>
              <w:t>Oszacowano koszty wynagrodzeń wsparcia personelu na poziomie 10% w stosunku do całego budżetu</w:t>
            </w:r>
          </w:p>
          <w:p w:rsidR="00F5529D" w:rsidRDefault="00F5529D">
            <w:pPr>
              <w:rPr>
                <w:rFonts w:ascii="Calibri" w:eastAsia="Calibri" w:hAnsi="Calibri" w:cs="Calibri"/>
                <w:color w:val="000000"/>
                <w:sz w:val="22"/>
                <w:szCs w:val="22"/>
              </w:rPr>
            </w:pPr>
          </w:p>
        </w:tc>
        <w:tc>
          <w:tcPr>
            <w:tcW w:w="2320" w:type="dxa"/>
            <w:tcBorders>
              <w:top w:val="single" w:sz="4" w:space="0" w:color="000000"/>
              <w:left w:val="nil"/>
              <w:bottom w:val="single" w:sz="4" w:space="0" w:color="000000"/>
              <w:right w:val="single" w:sz="4" w:space="0" w:color="000000"/>
            </w:tcBorders>
            <w:shd w:val="clear" w:color="auto" w:fill="auto"/>
          </w:tcPr>
          <w:p w:rsidR="00F5529D" w:rsidRDefault="008C3DDC">
            <w:pPr>
              <w:rPr>
                <w:rFonts w:ascii="Calibri" w:eastAsia="Calibri" w:hAnsi="Calibri" w:cs="Calibri"/>
                <w:sz w:val="22"/>
                <w:szCs w:val="22"/>
              </w:rPr>
            </w:pPr>
            <w:r>
              <w:rPr>
                <w:rFonts w:ascii="Calibri" w:eastAsia="Calibri" w:hAnsi="Calibri" w:cs="Calibri"/>
                <w:sz w:val="22"/>
                <w:szCs w:val="22"/>
              </w:rPr>
              <w:t>Proszę o analizę i potwierdzenie lub korektę opisu.</w:t>
            </w:r>
          </w:p>
        </w:tc>
        <w:tc>
          <w:tcPr>
            <w:tcW w:w="5180" w:type="dxa"/>
            <w:tcBorders>
              <w:top w:val="single" w:sz="4" w:space="0" w:color="000000"/>
              <w:left w:val="single" w:sz="4" w:space="0" w:color="000000"/>
              <w:bottom w:val="single" w:sz="4" w:space="0" w:color="000000"/>
              <w:right w:val="single" w:sz="4" w:space="0" w:color="000000"/>
            </w:tcBorders>
          </w:tcPr>
          <w:p w:rsidR="00F5529D" w:rsidRDefault="008C3DDC">
            <w:pPr>
              <w:rPr>
                <w:rFonts w:ascii="Calibri" w:eastAsia="Calibri" w:hAnsi="Calibri" w:cs="Calibri"/>
                <w:sz w:val="22"/>
                <w:szCs w:val="22"/>
              </w:rPr>
            </w:pPr>
            <w:r>
              <w:rPr>
                <w:rFonts w:ascii="Calibri" w:eastAsia="Calibri" w:hAnsi="Calibri" w:cs="Calibri"/>
                <w:sz w:val="22"/>
                <w:szCs w:val="22"/>
              </w:rPr>
              <w:t>W opisie wprowadzimy następującą korektę:</w:t>
            </w:r>
          </w:p>
          <w:p w:rsidR="00F5529D" w:rsidRDefault="008C3DDC">
            <w:pPr>
              <w:rPr>
                <w:rFonts w:ascii="Calibri" w:eastAsia="Calibri" w:hAnsi="Calibri" w:cs="Calibri"/>
                <w:sz w:val="22"/>
                <w:szCs w:val="22"/>
              </w:rPr>
            </w:pPr>
            <w:r>
              <w:rPr>
                <w:rFonts w:ascii="Calibri" w:eastAsia="Calibri" w:hAnsi="Calibri" w:cs="Calibri"/>
                <w:sz w:val="22"/>
                <w:szCs w:val="22"/>
              </w:rPr>
              <w:t>„Koszty pośrednie (10% wartości projektu) związane są z realizacją</w:t>
            </w:r>
          </w:p>
          <w:p w:rsidR="00F5529D" w:rsidRDefault="008C3DDC">
            <w:pPr>
              <w:rPr>
                <w:rFonts w:ascii="Calibri" w:eastAsia="Calibri" w:hAnsi="Calibri" w:cs="Calibri"/>
                <w:sz w:val="22"/>
                <w:szCs w:val="22"/>
              </w:rPr>
            </w:pPr>
            <w:r>
              <w:rPr>
                <w:rFonts w:ascii="Calibri" w:eastAsia="Calibri" w:hAnsi="Calibri" w:cs="Calibri"/>
                <w:sz w:val="22"/>
                <w:szCs w:val="22"/>
              </w:rPr>
              <w:t>prac, ich nadzorem, a także zarządzaniem projektem. Realizacja projektu wymaga zapewnienia odpowiedniej obsługi technicznej i administracyjnej, zaangażowania personelu wspomagającego, utrzymania powierzchni biurowej. Konieczne jest też utrzymanie personelu</w:t>
            </w:r>
            <w:r>
              <w:rPr>
                <w:rFonts w:ascii="Calibri" w:eastAsia="Calibri" w:hAnsi="Calibri" w:cs="Calibri"/>
                <w:sz w:val="22"/>
                <w:szCs w:val="22"/>
              </w:rPr>
              <w:t xml:space="preserve"> zarządzającego. Według wytycznych kwalifikowalności FERS koszty pośrednie wynoszą 10% w przypadku projektów o wartości kosztów bezpośrednich przekraczającej 4 550 tys. PLN.”</w:t>
            </w:r>
          </w:p>
          <w:p w:rsidR="00F5529D" w:rsidRDefault="008C3DDC">
            <w:pPr>
              <w:rPr>
                <w:rFonts w:ascii="Calibri" w:eastAsia="Calibri" w:hAnsi="Calibri" w:cs="Calibri"/>
                <w:sz w:val="22"/>
                <w:szCs w:val="22"/>
              </w:rPr>
            </w:pPr>
            <w:r>
              <w:rPr>
                <w:rFonts w:ascii="Calibri" w:eastAsia="Calibri" w:hAnsi="Calibri" w:cs="Calibri"/>
                <w:sz w:val="22"/>
                <w:szCs w:val="22"/>
              </w:rPr>
              <w:t>Dotychczasowy opis mógł być mylący, kategoria ta obejmuje bowiem więcej, niż tylk</w:t>
            </w:r>
            <w:r>
              <w:rPr>
                <w:rFonts w:ascii="Calibri" w:eastAsia="Calibri" w:hAnsi="Calibri" w:cs="Calibri"/>
                <w:sz w:val="22"/>
                <w:szCs w:val="22"/>
              </w:rPr>
              <w:t>o wynagrodzenia wsparcia personelu.</w:t>
            </w:r>
          </w:p>
        </w:tc>
      </w:tr>
      <w:tr w:rsidR="00F5529D" w:rsidTr="0042123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F5529D">
            <w:pPr>
              <w:numPr>
                <w:ilvl w:val="0"/>
                <w:numId w:val="3"/>
              </w:numPr>
              <w:pBdr>
                <w:top w:val="nil"/>
                <w:left w:val="nil"/>
                <w:bottom w:val="nil"/>
                <w:right w:val="nil"/>
                <w:between w:val="nil"/>
              </w:pBdr>
              <w:spacing w:before="120" w:after="120"/>
              <w:jc w:val="center"/>
              <w:rPr>
                <w:rFonts w:ascii="Calibri" w:eastAsia="Calibri" w:hAnsi="Calibri" w:cs="Calibri"/>
                <w:b/>
                <w:color w:val="000000"/>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spacing w:before="60" w:after="60"/>
              <w:jc w:val="center"/>
              <w:rPr>
                <w:rFonts w:ascii="Calibri" w:eastAsia="Calibri" w:hAnsi="Calibri" w:cs="Calibri"/>
                <w:b/>
                <w:sz w:val="22"/>
                <w:szCs w:val="22"/>
              </w:rPr>
            </w:pPr>
            <w:r>
              <w:rPr>
                <w:rFonts w:ascii="Calibri" w:eastAsia="Calibri" w:hAnsi="Calibri" w:cs="Calibri"/>
                <w:b/>
                <w:sz w:val="22"/>
                <w:szCs w:val="22"/>
              </w:rPr>
              <w:t>MC</w:t>
            </w:r>
          </w:p>
        </w:tc>
        <w:tc>
          <w:tcPr>
            <w:tcW w:w="166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spacing w:before="120" w:after="120"/>
              <w:jc w:val="center"/>
              <w:rPr>
                <w:rFonts w:ascii="Calibri" w:eastAsia="Calibri" w:hAnsi="Calibri" w:cs="Calibri"/>
                <w:color w:val="000000"/>
                <w:sz w:val="22"/>
                <w:szCs w:val="22"/>
              </w:rPr>
            </w:pPr>
            <w:r>
              <w:rPr>
                <w:rFonts w:ascii="Calibri" w:eastAsia="Calibri" w:hAnsi="Calibri" w:cs="Calibri"/>
                <w:color w:val="000000"/>
                <w:sz w:val="22"/>
                <w:szCs w:val="22"/>
              </w:rPr>
              <w:t>6. Otoczenie prawne</w:t>
            </w:r>
          </w:p>
        </w:tc>
        <w:tc>
          <w:tcPr>
            <w:tcW w:w="4095" w:type="dxa"/>
            <w:tcBorders>
              <w:top w:val="single" w:sz="4" w:space="0" w:color="000000"/>
              <w:left w:val="nil"/>
              <w:bottom w:val="single" w:sz="4" w:space="0" w:color="000000"/>
              <w:right w:val="single" w:sz="4" w:space="0" w:color="000000"/>
            </w:tcBorders>
            <w:shd w:val="clear" w:color="auto" w:fill="auto"/>
          </w:tcPr>
          <w:p w:rsidR="00F5529D" w:rsidRDefault="008C3DDC">
            <w:pPr>
              <w:spacing w:line="259" w:lineRule="auto"/>
              <w:rPr>
                <w:rFonts w:ascii="Calibri" w:eastAsia="Calibri" w:hAnsi="Calibri" w:cs="Calibri"/>
                <w:color w:val="000000"/>
                <w:sz w:val="22"/>
                <w:szCs w:val="22"/>
              </w:rPr>
            </w:pPr>
            <w:r>
              <w:rPr>
                <w:rFonts w:ascii="Calibri" w:eastAsia="Calibri" w:hAnsi="Calibri" w:cs="Calibri"/>
                <w:color w:val="000000"/>
                <w:sz w:val="22"/>
                <w:szCs w:val="22"/>
              </w:rPr>
              <w:t>Projekt jest silnie skorelowany ze zmianą przepisów dotyczących przetwarzania danych niepublicznych. Konieczne rozważyć aktualizację otoczenia prawnego;</w:t>
            </w:r>
          </w:p>
        </w:tc>
        <w:tc>
          <w:tcPr>
            <w:tcW w:w="2320" w:type="dxa"/>
            <w:tcBorders>
              <w:top w:val="single" w:sz="4" w:space="0" w:color="000000"/>
              <w:left w:val="nil"/>
              <w:bottom w:val="single" w:sz="4" w:space="0" w:color="000000"/>
              <w:right w:val="single" w:sz="4" w:space="0" w:color="000000"/>
            </w:tcBorders>
            <w:shd w:val="clear" w:color="auto" w:fill="auto"/>
          </w:tcPr>
          <w:p w:rsidR="00F5529D" w:rsidRDefault="008C3DDC">
            <w:pPr>
              <w:rPr>
                <w:rFonts w:ascii="Calibri" w:eastAsia="Calibri" w:hAnsi="Calibri" w:cs="Calibri"/>
                <w:sz w:val="22"/>
                <w:szCs w:val="22"/>
              </w:rPr>
            </w:pPr>
            <w:r>
              <w:rPr>
                <w:rFonts w:ascii="Calibri" w:eastAsia="Calibri" w:hAnsi="Calibri" w:cs="Calibri"/>
                <w:sz w:val="22"/>
                <w:szCs w:val="22"/>
              </w:rPr>
              <w:t>Proszę o analizę i korektę opisu.</w:t>
            </w:r>
          </w:p>
        </w:tc>
        <w:tc>
          <w:tcPr>
            <w:tcW w:w="5180" w:type="dxa"/>
            <w:tcBorders>
              <w:top w:val="single" w:sz="4" w:space="0" w:color="000000"/>
              <w:left w:val="single" w:sz="4" w:space="0" w:color="000000"/>
              <w:bottom w:val="single" w:sz="4" w:space="0" w:color="000000"/>
              <w:right w:val="single" w:sz="4" w:space="0" w:color="000000"/>
            </w:tcBorders>
          </w:tcPr>
          <w:p w:rsidR="00F5529D" w:rsidRDefault="008C3DDC">
            <w:pPr>
              <w:rPr>
                <w:rFonts w:ascii="Calibri" w:eastAsia="Calibri" w:hAnsi="Calibri" w:cs="Calibri"/>
                <w:sz w:val="22"/>
                <w:szCs w:val="22"/>
              </w:rPr>
            </w:pPr>
            <w:r>
              <w:rPr>
                <w:rFonts w:ascii="Calibri" w:eastAsia="Calibri" w:hAnsi="Calibri" w:cs="Calibri"/>
                <w:sz w:val="22"/>
                <w:szCs w:val="22"/>
              </w:rPr>
              <w:t>Monitoring karier absolwentów szkół ponadpodstawowych ma solidne podstawy prawne. Przetwarzanie danych osobowych odbywa się w ramach realizacji zadania publicznego (w celu wypełnienia obowiązku prawnego, któremu podlega administrator - minister właściwy do</w:t>
            </w:r>
            <w:r>
              <w:rPr>
                <w:rFonts w:ascii="Calibri" w:eastAsia="Calibri" w:hAnsi="Calibri" w:cs="Calibri"/>
                <w:sz w:val="22"/>
                <w:szCs w:val="22"/>
              </w:rPr>
              <w:t xml:space="preserve"> spraw oświaty i wychowania zgodnie z  art. 26b. Ustawy z 14 grudnia 2016 roku Prawo Oświatowe z późn.zm.) - art. 6 ust. 1 lit. c RODO.</w:t>
            </w:r>
          </w:p>
          <w:p w:rsidR="00F5529D" w:rsidRDefault="00F5529D">
            <w:pPr>
              <w:rPr>
                <w:rFonts w:ascii="Calibri" w:eastAsia="Calibri" w:hAnsi="Calibri" w:cs="Calibri"/>
                <w:sz w:val="22"/>
                <w:szCs w:val="22"/>
              </w:rPr>
            </w:pPr>
          </w:p>
          <w:p w:rsidR="00F5529D" w:rsidRDefault="008C3DDC">
            <w:pPr>
              <w:rPr>
                <w:rFonts w:ascii="Calibri" w:eastAsia="Calibri" w:hAnsi="Calibri" w:cs="Calibri"/>
                <w:sz w:val="22"/>
                <w:szCs w:val="22"/>
              </w:rPr>
            </w:pPr>
            <w:r>
              <w:rPr>
                <w:rFonts w:ascii="Calibri" w:eastAsia="Calibri" w:hAnsi="Calibri" w:cs="Calibri"/>
                <w:sz w:val="22"/>
                <w:szCs w:val="22"/>
              </w:rPr>
              <w:t>Istniejące przepisy regulują  zakres danych wykorzystywanych w monitoringu, obowiązki ministrów i innych podmiotów co d</w:t>
            </w:r>
            <w:r>
              <w:rPr>
                <w:rFonts w:ascii="Calibri" w:eastAsia="Calibri" w:hAnsi="Calibri" w:cs="Calibri"/>
                <w:sz w:val="22"/>
                <w:szCs w:val="22"/>
              </w:rPr>
              <w:t>o zakresu i terminów wzajemnej wymiany danych, zakres uzupełnienia danych, łączenia danych, przechowywania danych i ich udostępniania oraz formy udostępniania.</w:t>
            </w:r>
          </w:p>
          <w:p w:rsidR="00F5529D" w:rsidRDefault="008C3DDC">
            <w:pPr>
              <w:rPr>
                <w:rFonts w:ascii="Calibri" w:eastAsia="Calibri" w:hAnsi="Calibri" w:cs="Calibri"/>
                <w:sz w:val="22"/>
                <w:szCs w:val="22"/>
              </w:rPr>
            </w:pPr>
            <w:r>
              <w:rPr>
                <w:rFonts w:ascii="Calibri" w:eastAsia="Calibri" w:hAnsi="Calibri" w:cs="Calibri"/>
                <w:sz w:val="22"/>
                <w:szCs w:val="22"/>
              </w:rPr>
              <w:t xml:space="preserve">Obecnie funkcjonowanie monitoringu karier regulują następujące przepisy: </w:t>
            </w:r>
          </w:p>
          <w:p w:rsidR="00F5529D" w:rsidRDefault="008C3DDC">
            <w:pPr>
              <w:numPr>
                <w:ilvl w:val="0"/>
                <w:numId w:val="4"/>
              </w:numPr>
              <w:rPr>
                <w:rFonts w:ascii="Calibri" w:eastAsia="Calibri" w:hAnsi="Calibri" w:cs="Calibri"/>
                <w:sz w:val="22"/>
                <w:szCs w:val="22"/>
              </w:rPr>
            </w:pPr>
            <w:r>
              <w:rPr>
                <w:rFonts w:ascii="Calibri" w:eastAsia="Calibri" w:hAnsi="Calibri" w:cs="Calibri"/>
                <w:sz w:val="22"/>
                <w:szCs w:val="22"/>
              </w:rPr>
              <w:t>w zakresie wykorzystan</w:t>
            </w:r>
            <w:r>
              <w:rPr>
                <w:rFonts w:ascii="Calibri" w:eastAsia="Calibri" w:hAnsi="Calibri" w:cs="Calibri"/>
                <w:sz w:val="22"/>
                <w:szCs w:val="22"/>
              </w:rPr>
              <w:t xml:space="preserve">ia danych z Systemu Informacji Oświatowej: Ustawa z dnia 15 </w:t>
            </w:r>
            <w:r>
              <w:rPr>
                <w:rFonts w:ascii="Calibri" w:eastAsia="Calibri" w:hAnsi="Calibri" w:cs="Calibri"/>
                <w:sz w:val="22"/>
                <w:szCs w:val="22"/>
              </w:rPr>
              <w:lastRenderedPageBreak/>
              <w:t>kwietnia 2011 r. o systemie informacji oświatowej (Dz.U. z 2019 r. poz. 1942 oraz z 2020 r. poz. 695)</w:t>
            </w:r>
          </w:p>
          <w:p w:rsidR="00F5529D" w:rsidRDefault="008C3DDC">
            <w:pPr>
              <w:numPr>
                <w:ilvl w:val="0"/>
                <w:numId w:val="4"/>
              </w:numPr>
              <w:rPr>
                <w:rFonts w:ascii="Calibri" w:eastAsia="Calibri" w:hAnsi="Calibri" w:cs="Calibri"/>
                <w:sz w:val="22"/>
                <w:szCs w:val="22"/>
              </w:rPr>
            </w:pPr>
            <w:r>
              <w:rPr>
                <w:rFonts w:ascii="Calibri" w:eastAsia="Calibri" w:hAnsi="Calibri" w:cs="Calibri"/>
                <w:sz w:val="22"/>
                <w:szCs w:val="22"/>
              </w:rPr>
              <w:t>w zakresie wykorzystania danych ZUS: Ustawa z dnia 13 października 1998 r. o systemie ubezpiec</w:t>
            </w:r>
            <w:r>
              <w:rPr>
                <w:rFonts w:ascii="Calibri" w:eastAsia="Calibri" w:hAnsi="Calibri" w:cs="Calibri"/>
                <w:sz w:val="22"/>
                <w:szCs w:val="22"/>
              </w:rPr>
              <w:t>zeń społecznych (Dz.U. z 2020 r. poz. 266, 321, 568, 695 i 875)</w:t>
            </w:r>
          </w:p>
          <w:p w:rsidR="00F5529D" w:rsidRDefault="008C3DDC">
            <w:pPr>
              <w:numPr>
                <w:ilvl w:val="0"/>
                <w:numId w:val="4"/>
              </w:numPr>
              <w:rPr>
                <w:rFonts w:ascii="Calibri" w:eastAsia="Calibri" w:hAnsi="Calibri" w:cs="Calibri"/>
                <w:sz w:val="22"/>
                <w:szCs w:val="22"/>
              </w:rPr>
            </w:pPr>
            <w:r>
              <w:rPr>
                <w:rFonts w:ascii="Calibri" w:eastAsia="Calibri" w:hAnsi="Calibri" w:cs="Calibri"/>
                <w:sz w:val="22"/>
                <w:szCs w:val="22"/>
              </w:rPr>
              <w:t>w zakresie wykorzystania danych POLON: Prawo o szkolnictwie wyższym i nauce (Dz.U.2018.1668 z późniejszymi zmianami)</w:t>
            </w:r>
          </w:p>
          <w:p w:rsidR="00F5529D" w:rsidRDefault="008C3DDC">
            <w:pPr>
              <w:rPr>
                <w:rFonts w:ascii="Calibri" w:eastAsia="Calibri" w:hAnsi="Calibri" w:cs="Calibri"/>
                <w:sz w:val="22"/>
                <w:szCs w:val="22"/>
              </w:rPr>
            </w:pPr>
            <w:r>
              <w:rPr>
                <w:rFonts w:ascii="Calibri" w:eastAsia="Calibri" w:hAnsi="Calibri" w:cs="Calibri"/>
                <w:sz w:val="22"/>
                <w:szCs w:val="22"/>
              </w:rPr>
              <w:t>Planowane w projekcie rozszerzenie zakresu danych administracyjnych wykorzy</w:t>
            </w:r>
            <w:r>
              <w:rPr>
                <w:rFonts w:ascii="Calibri" w:eastAsia="Calibri" w:hAnsi="Calibri" w:cs="Calibri"/>
                <w:sz w:val="22"/>
                <w:szCs w:val="22"/>
              </w:rPr>
              <w:t xml:space="preserve">stywanych w monitoringu znajdzie odzwierciedlenie w nowelizacji właściwych przepisów, które </w:t>
            </w:r>
            <w:proofErr w:type="spellStart"/>
            <w:r>
              <w:rPr>
                <w:rFonts w:ascii="Calibri" w:eastAsia="Calibri" w:hAnsi="Calibri" w:cs="Calibri"/>
                <w:sz w:val="22"/>
                <w:szCs w:val="22"/>
              </w:rPr>
              <w:t>będa</w:t>
            </w:r>
            <w:proofErr w:type="spellEnd"/>
            <w:r>
              <w:rPr>
                <w:rFonts w:ascii="Calibri" w:eastAsia="Calibri" w:hAnsi="Calibri" w:cs="Calibri"/>
                <w:sz w:val="22"/>
                <w:szCs w:val="22"/>
              </w:rPr>
              <w:t xml:space="preserve"> precyzować zakres wykorzystywanych danych. Podstawą przetwarzania danych pozostanie  art. 6 ust. 1 lit. c RODO – monitoring stanowi niezmiennie zadanie publicz</w:t>
            </w:r>
            <w:r>
              <w:rPr>
                <w:rFonts w:ascii="Calibri" w:eastAsia="Calibri" w:hAnsi="Calibri" w:cs="Calibri"/>
                <w:sz w:val="22"/>
                <w:szCs w:val="22"/>
              </w:rPr>
              <w:t>ne ministra ds. oświaty.</w:t>
            </w:r>
          </w:p>
          <w:p w:rsidR="00F5529D" w:rsidRDefault="00F5529D">
            <w:pPr>
              <w:rPr>
                <w:rFonts w:ascii="Calibri" w:eastAsia="Calibri" w:hAnsi="Calibri" w:cs="Calibri"/>
                <w:sz w:val="22"/>
                <w:szCs w:val="22"/>
              </w:rPr>
            </w:pPr>
          </w:p>
          <w:p w:rsidR="00F5529D" w:rsidRDefault="008C3DDC">
            <w:pPr>
              <w:rPr>
                <w:rFonts w:ascii="Calibri" w:eastAsia="Calibri" w:hAnsi="Calibri" w:cs="Calibri"/>
                <w:sz w:val="22"/>
                <w:szCs w:val="22"/>
              </w:rPr>
            </w:pPr>
            <w:r>
              <w:rPr>
                <w:rFonts w:ascii="Calibri" w:eastAsia="Calibri" w:hAnsi="Calibri" w:cs="Calibri"/>
                <w:sz w:val="22"/>
                <w:szCs w:val="22"/>
              </w:rPr>
              <w:t xml:space="preserve">Zmiany legislacyjne, które miały miejsce w ostatnim czasie nie mają wpływu na funkcjonowanie projektu, gdyż nie wpływają one na ograniczenie możliwości wykorzystania numeru PESEL w oparciu o art. 6 ust. 1 lit. c RODO. W szczególności ustawa z </w:t>
            </w:r>
            <w:proofErr w:type="spellStart"/>
            <w:r>
              <w:rPr>
                <w:rFonts w:ascii="Calibri" w:eastAsia="Calibri" w:hAnsi="Calibri" w:cs="Calibri"/>
                <w:sz w:val="22"/>
                <w:szCs w:val="22"/>
              </w:rPr>
              <w:t>z</w:t>
            </w:r>
            <w:proofErr w:type="spellEnd"/>
            <w:r>
              <w:rPr>
                <w:rFonts w:ascii="Calibri" w:eastAsia="Calibri" w:hAnsi="Calibri" w:cs="Calibri"/>
                <w:sz w:val="22"/>
                <w:szCs w:val="22"/>
              </w:rPr>
              <w:t xml:space="preserve"> dnia 7 lipc</w:t>
            </w:r>
            <w:r>
              <w:rPr>
                <w:rFonts w:ascii="Calibri" w:eastAsia="Calibri" w:hAnsi="Calibri" w:cs="Calibri"/>
                <w:sz w:val="22"/>
                <w:szCs w:val="22"/>
              </w:rPr>
              <w:t>a 2023 r. o zmianie niektórych ustaw w celu ograniczania niektórych skutków kradzieży tożsamości nie ma tu zastosowania, gdyż zawiera ona zamknięty katalog sytuacji, do których odnosić się będzie prawo zastrzeżenia numeru PESEL, który nie obejmuje wykorzys</w:t>
            </w:r>
            <w:r>
              <w:rPr>
                <w:rFonts w:ascii="Calibri" w:eastAsia="Calibri" w:hAnsi="Calibri" w:cs="Calibri"/>
                <w:sz w:val="22"/>
                <w:szCs w:val="22"/>
              </w:rPr>
              <w:t>tania go do celów monitoringu karier absolwentów szkół ponadpodstawowych. Należy też uznać, że bardzo niskie jest prawdopodobieństwo, aby ewentualne przyszłe zmiany rozszerzające katalog tych sytuacji lub wprowadzające inne podobne rozwiązania ograniczając</w:t>
            </w:r>
            <w:r>
              <w:rPr>
                <w:rFonts w:ascii="Calibri" w:eastAsia="Calibri" w:hAnsi="Calibri" w:cs="Calibri"/>
                <w:sz w:val="22"/>
                <w:szCs w:val="22"/>
              </w:rPr>
              <w:t xml:space="preserve">e skutki ochrony tożsamości odnosiły się do monitoringu losów absolwentów. Wynika to z faktu, że cele tego rodzaju regulacji jest uchronienie osób </w:t>
            </w:r>
            <w:r>
              <w:rPr>
                <w:rFonts w:ascii="Calibri" w:eastAsia="Calibri" w:hAnsi="Calibri" w:cs="Calibri"/>
                <w:sz w:val="22"/>
                <w:szCs w:val="22"/>
              </w:rPr>
              <w:lastRenderedPageBreak/>
              <w:t>przed doniosłymi skutkami finansowymi i prawnymi kradzieży tożsamości, podczas gdy przetwarzanie danych w ram</w:t>
            </w:r>
            <w:r>
              <w:rPr>
                <w:rFonts w:ascii="Calibri" w:eastAsia="Calibri" w:hAnsi="Calibri" w:cs="Calibri"/>
                <w:sz w:val="22"/>
                <w:szCs w:val="22"/>
              </w:rPr>
              <w:t>ach monitoringu karier absolwentów szkół ponadpodstawowych takich skutków za sobą nie pociąga. Niezależnie od tego w działaniach prowadzonych w ramach zadania 1. projektu – obejmujących przygotowanie propozycji zmian legislacyjnych rozszerzających zakres m</w:t>
            </w:r>
            <w:r>
              <w:rPr>
                <w:rFonts w:ascii="Calibri" w:eastAsia="Calibri" w:hAnsi="Calibri" w:cs="Calibri"/>
                <w:sz w:val="22"/>
                <w:szCs w:val="22"/>
              </w:rPr>
              <w:t>onitoringu – na bieżąco śledzone będą wszystkie zmiany prawne, które mogą mieć wpływ na funkcjonowanie systemu monitoringu.</w:t>
            </w:r>
          </w:p>
        </w:tc>
      </w:tr>
      <w:tr w:rsidR="00F5529D" w:rsidTr="00421234">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F5529D">
            <w:pPr>
              <w:numPr>
                <w:ilvl w:val="0"/>
                <w:numId w:val="3"/>
              </w:numPr>
              <w:pBdr>
                <w:top w:val="nil"/>
                <w:left w:val="nil"/>
                <w:bottom w:val="nil"/>
                <w:right w:val="nil"/>
                <w:between w:val="nil"/>
              </w:pBdr>
              <w:spacing w:before="120" w:after="120"/>
              <w:jc w:val="center"/>
              <w:rPr>
                <w:rFonts w:ascii="Calibri" w:eastAsia="Calibri" w:hAnsi="Calibri" w:cs="Calibri"/>
                <w:b/>
                <w:color w:val="000000"/>
                <w:sz w:val="22"/>
                <w:szCs w:val="22"/>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spacing w:before="60" w:after="60"/>
              <w:jc w:val="center"/>
              <w:rPr>
                <w:rFonts w:ascii="Calibri" w:eastAsia="Calibri" w:hAnsi="Calibri" w:cs="Calibri"/>
                <w:b/>
                <w:sz w:val="22"/>
                <w:szCs w:val="22"/>
              </w:rPr>
            </w:pPr>
            <w:r>
              <w:rPr>
                <w:rFonts w:ascii="Calibri" w:eastAsia="Calibri" w:hAnsi="Calibri" w:cs="Calibri"/>
                <w:b/>
                <w:sz w:val="22"/>
                <w:szCs w:val="22"/>
              </w:rPr>
              <w:t>MC</w:t>
            </w:r>
          </w:p>
        </w:tc>
        <w:tc>
          <w:tcPr>
            <w:tcW w:w="1665" w:type="dxa"/>
            <w:tcBorders>
              <w:top w:val="single" w:sz="4" w:space="0" w:color="000000"/>
              <w:left w:val="single" w:sz="4" w:space="0" w:color="000000"/>
              <w:bottom w:val="single" w:sz="4" w:space="0" w:color="000000"/>
              <w:right w:val="single" w:sz="4" w:space="0" w:color="000000"/>
            </w:tcBorders>
            <w:shd w:val="clear" w:color="auto" w:fill="auto"/>
          </w:tcPr>
          <w:p w:rsidR="00F5529D" w:rsidRDefault="008C3DDC">
            <w:pPr>
              <w:jc w:val="center"/>
              <w:rPr>
                <w:rFonts w:ascii="Calibri" w:eastAsia="Calibri" w:hAnsi="Calibri" w:cs="Calibri"/>
                <w:color w:val="000000"/>
                <w:sz w:val="22"/>
                <w:szCs w:val="22"/>
              </w:rPr>
            </w:pPr>
            <w:r>
              <w:rPr>
                <w:rFonts w:ascii="Calibri" w:eastAsia="Calibri" w:hAnsi="Calibri" w:cs="Calibri"/>
                <w:color w:val="000000"/>
                <w:sz w:val="22"/>
                <w:szCs w:val="22"/>
              </w:rPr>
              <w:t>7.1. Widok kooperacji aplikacji</w:t>
            </w:r>
          </w:p>
        </w:tc>
        <w:tc>
          <w:tcPr>
            <w:tcW w:w="4095" w:type="dxa"/>
            <w:tcBorders>
              <w:top w:val="single" w:sz="4" w:space="0" w:color="000000"/>
              <w:left w:val="nil"/>
              <w:bottom w:val="single" w:sz="4" w:space="0" w:color="000000"/>
              <w:right w:val="single" w:sz="4" w:space="0" w:color="000000"/>
            </w:tcBorders>
            <w:shd w:val="clear" w:color="auto" w:fill="auto"/>
          </w:tcPr>
          <w:p w:rsidR="00F5529D" w:rsidRDefault="008C3DDC">
            <w:pPr>
              <w:spacing w:line="259" w:lineRule="auto"/>
              <w:rPr>
                <w:rFonts w:ascii="Calibri" w:eastAsia="Calibri" w:hAnsi="Calibri" w:cs="Calibri"/>
                <w:color w:val="000000"/>
                <w:sz w:val="22"/>
                <w:szCs w:val="22"/>
              </w:rPr>
            </w:pPr>
            <w:r>
              <w:rPr>
                <w:rFonts w:ascii="Calibri" w:eastAsia="Calibri" w:hAnsi="Calibri" w:cs="Calibri"/>
                <w:color w:val="000000"/>
                <w:sz w:val="22"/>
                <w:szCs w:val="22"/>
              </w:rPr>
              <w:t>Brak informacji dotyczącej sposobu uwierzytelniania Użytkowników korzystających w projektowanych usług i funkcjonalności.</w:t>
            </w:r>
          </w:p>
          <w:p w:rsidR="00F5529D" w:rsidRDefault="008C3DDC">
            <w:pPr>
              <w:spacing w:line="259" w:lineRule="auto"/>
              <w:rPr>
                <w:rFonts w:ascii="Calibri" w:eastAsia="Calibri" w:hAnsi="Calibri" w:cs="Calibri"/>
                <w:color w:val="000000"/>
                <w:sz w:val="22"/>
                <w:szCs w:val="22"/>
              </w:rPr>
            </w:pPr>
            <w:r>
              <w:rPr>
                <w:rFonts w:ascii="Calibri" w:eastAsia="Calibri" w:hAnsi="Calibri" w:cs="Calibri"/>
                <w:color w:val="000000"/>
                <w:sz w:val="22"/>
                <w:szCs w:val="22"/>
              </w:rPr>
              <w:t>Na grafice i tabelach należy uwzględnić proces uwierzytelniania poprzez Węzeł Krajowy przy logowaniu do modułów lub uzasadnić jego bra</w:t>
            </w:r>
            <w:r>
              <w:rPr>
                <w:rFonts w:ascii="Calibri" w:eastAsia="Calibri" w:hAnsi="Calibri" w:cs="Calibri"/>
                <w:color w:val="000000"/>
                <w:sz w:val="22"/>
                <w:szCs w:val="22"/>
              </w:rPr>
              <w:t>k.</w:t>
            </w:r>
          </w:p>
        </w:tc>
        <w:tc>
          <w:tcPr>
            <w:tcW w:w="2320" w:type="dxa"/>
            <w:tcBorders>
              <w:top w:val="single" w:sz="4" w:space="0" w:color="000000"/>
              <w:left w:val="nil"/>
              <w:bottom w:val="single" w:sz="4" w:space="0" w:color="000000"/>
              <w:right w:val="single" w:sz="4" w:space="0" w:color="000000"/>
            </w:tcBorders>
            <w:shd w:val="clear" w:color="auto" w:fill="auto"/>
          </w:tcPr>
          <w:p w:rsidR="00F5529D" w:rsidRDefault="008C3DDC">
            <w:pPr>
              <w:rPr>
                <w:rFonts w:ascii="Calibri" w:eastAsia="Calibri" w:hAnsi="Calibri" w:cs="Calibri"/>
                <w:sz w:val="22"/>
                <w:szCs w:val="22"/>
              </w:rPr>
            </w:pPr>
            <w:r>
              <w:rPr>
                <w:rFonts w:ascii="Calibri" w:eastAsia="Calibri" w:hAnsi="Calibri" w:cs="Calibri"/>
                <w:sz w:val="22"/>
                <w:szCs w:val="22"/>
              </w:rPr>
              <w:t>Proszę o analizę i korektę opisu.</w:t>
            </w:r>
          </w:p>
        </w:tc>
        <w:tc>
          <w:tcPr>
            <w:tcW w:w="5180" w:type="dxa"/>
            <w:tcBorders>
              <w:top w:val="single" w:sz="4" w:space="0" w:color="000000"/>
              <w:left w:val="single" w:sz="4" w:space="0" w:color="000000"/>
              <w:bottom w:val="single" w:sz="4" w:space="0" w:color="000000"/>
              <w:right w:val="single" w:sz="4" w:space="0" w:color="000000"/>
            </w:tcBorders>
          </w:tcPr>
          <w:p w:rsidR="00F5529D" w:rsidRDefault="008C3DDC">
            <w:pPr>
              <w:rPr>
                <w:rFonts w:ascii="Calibri" w:eastAsia="Calibri" w:hAnsi="Calibri" w:cs="Calibri"/>
                <w:sz w:val="22"/>
                <w:szCs w:val="22"/>
              </w:rPr>
            </w:pPr>
            <w:r>
              <w:rPr>
                <w:rFonts w:ascii="Calibri" w:eastAsia="Calibri" w:hAnsi="Calibri" w:cs="Calibri"/>
                <w:sz w:val="22"/>
                <w:szCs w:val="22"/>
              </w:rPr>
              <w:t>Monitoring Karier absolwentów nie przewiduje udostępnienia zestawień, które pozwoliłyby na identyfikację konkretnych osób. Wyniki monitoringu udostępniane on-line (w postaci raportów interaktywnych dopasowanych do potrz</w:t>
            </w:r>
            <w:r>
              <w:rPr>
                <w:rFonts w:ascii="Calibri" w:eastAsia="Calibri" w:hAnsi="Calibri" w:cs="Calibri"/>
                <w:sz w:val="22"/>
                <w:szCs w:val="22"/>
              </w:rPr>
              <w:t>eb poszczególnych grup odbiorców) w ramach modułów dla 1) pracodawców i instytucji rynku pracy, 2) rodziców i uczniów, 3) NGO – będą ogólnodostępne, w związku z czym w ich przypadku nie będzie zachodzić potrzeba uwierzytelniania użytkowników.</w:t>
            </w:r>
          </w:p>
          <w:p w:rsidR="00F5529D" w:rsidRDefault="00F5529D">
            <w:pPr>
              <w:rPr>
                <w:rFonts w:ascii="Calibri" w:eastAsia="Calibri" w:hAnsi="Calibri" w:cs="Calibri"/>
                <w:sz w:val="22"/>
                <w:szCs w:val="22"/>
              </w:rPr>
            </w:pPr>
          </w:p>
          <w:p w:rsidR="00F5529D" w:rsidRDefault="008C3DDC">
            <w:pPr>
              <w:rPr>
                <w:rFonts w:ascii="Calibri" w:eastAsia="Calibri" w:hAnsi="Calibri" w:cs="Calibri"/>
                <w:sz w:val="22"/>
                <w:szCs w:val="22"/>
              </w:rPr>
            </w:pPr>
            <w:r>
              <w:rPr>
                <w:rFonts w:ascii="Calibri" w:eastAsia="Calibri" w:hAnsi="Calibri" w:cs="Calibri"/>
                <w:sz w:val="22"/>
                <w:szCs w:val="22"/>
              </w:rPr>
              <w:t xml:space="preserve">Szczegółowe </w:t>
            </w:r>
            <w:r>
              <w:rPr>
                <w:rFonts w:ascii="Calibri" w:eastAsia="Calibri" w:hAnsi="Calibri" w:cs="Calibri"/>
                <w:sz w:val="22"/>
                <w:szCs w:val="22"/>
              </w:rPr>
              <w:t xml:space="preserve">zestawienia w ramach modułów dla a) organów prowadzących szkoły, b) ministerstwa edukacji i organów nadzoru oraz c) naukowców i badaczy będą udostępniane po uwierzytelnieniu z wykorzystaniem mechanizmów zaimplementowanych w Systemie Informacji Oświatowej, </w:t>
            </w:r>
            <w:r>
              <w:rPr>
                <w:rFonts w:ascii="Calibri" w:eastAsia="Calibri" w:hAnsi="Calibri" w:cs="Calibri"/>
                <w:sz w:val="22"/>
                <w:szCs w:val="22"/>
              </w:rPr>
              <w:t>z którego wskazane podmioty już korzystają.</w:t>
            </w:r>
          </w:p>
        </w:tc>
      </w:tr>
    </w:tbl>
    <w:p w:rsidR="00F5529D" w:rsidRDefault="00F5529D">
      <w:bookmarkStart w:id="0" w:name="_GoBack"/>
      <w:bookmarkEnd w:id="0"/>
    </w:p>
    <w:sectPr w:rsidR="00F5529D">
      <w:footerReference w:type="default" r:id="rId8"/>
      <w:pgSz w:w="16838" w:h="11906" w:orient="landscape"/>
      <w:pgMar w:top="720" w:right="720" w:bottom="720" w:left="720"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DDC" w:rsidRDefault="008C3DDC">
      <w:r>
        <w:separator/>
      </w:r>
    </w:p>
  </w:endnote>
  <w:endnote w:type="continuationSeparator" w:id="0">
    <w:p w:rsidR="008C3DDC" w:rsidRDefault="008C3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9D" w:rsidRDefault="008C3DDC">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sz w:val="20"/>
        <w:szCs w:val="20"/>
      </w:rPr>
      <w:t xml:space="preserve">Strona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PAGE</w:instrText>
    </w:r>
    <w:r w:rsidR="004E2197">
      <w:rPr>
        <w:rFonts w:ascii="Calibri" w:eastAsia="Calibri" w:hAnsi="Calibri" w:cs="Calibri"/>
        <w:b/>
        <w:color w:val="000000"/>
        <w:sz w:val="20"/>
        <w:szCs w:val="20"/>
      </w:rPr>
      <w:fldChar w:fldCharType="separate"/>
    </w:r>
    <w:r w:rsidR="00421234">
      <w:rPr>
        <w:rFonts w:ascii="Calibri" w:eastAsia="Calibri" w:hAnsi="Calibri" w:cs="Calibri"/>
        <w:b/>
        <w:noProof/>
        <w:color w:val="000000"/>
        <w:sz w:val="20"/>
        <w:szCs w:val="20"/>
      </w:rPr>
      <w:t>5</w:t>
    </w:r>
    <w:r>
      <w:rPr>
        <w:rFonts w:ascii="Calibri" w:eastAsia="Calibri" w:hAnsi="Calibri" w:cs="Calibri"/>
        <w:b/>
        <w:color w:val="000000"/>
        <w:sz w:val="20"/>
        <w:szCs w:val="20"/>
      </w:rPr>
      <w:fldChar w:fldCharType="end"/>
    </w:r>
    <w:r>
      <w:rPr>
        <w:rFonts w:ascii="Calibri" w:eastAsia="Calibri" w:hAnsi="Calibri" w:cs="Calibri"/>
        <w:color w:val="000000"/>
        <w:sz w:val="20"/>
        <w:szCs w:val="20"/>
      </w:rPr>
      <w:t xml:space="preserve"> z </w:t>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NUMPAGES</w:instrText>
    </w:r>
    <w:r w:rsidR="004E2197">
      <w:rPr>
        <w:rFonts w:ascii="Calibri" w:eastAsia="Calibri" w:hAnsi="Calibri" w:cs="Calibri"/>
        <w:b/>
        <w:color w:val="000000"/>
        <w:sz w:val="20"/>
        <w:szCs w:val="20"/>
      </w:rPr>
      <w:fldChar w:fldCharType="separate"/>
    </w:r>
    <w:r w:rsidR="00421234">
      <w:rPr>
        <w:rFonts w:ascii="Calibri" w:eastAsia="Calibri" w:hAnsi="Calibri" w:cs="Calibri"/>
        <w:b/>
        <w:noProof/>
        <w:color w:val="000000"/>
        <w:sz w:val="20"/>
        <w:szCs w:val="20"/>
      </w:rPr>
      <w:t>5</w:t>
    </w:r>
    <w:r>
      <w:rPr>
        <w:rFonts w:ascii="Calibri" w:eastAsia="Calibri" w:hAnsi="Calibri" w:cs="Calibri"/>
        <w:b/>
        <w:color w:val="000000"/>
        <w:sz w:val="20"/>
        <w:szCs w:val="20"/>
      </w:rPr>
      <w:fldChar w:fldCharType="end"/>
    </w:r>
  </w:p>
  <w:p w:rsidR="00F5529D" w:rsidRDefault="00F5529D">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DDC" w:rsidRDefault="008C3DDC">
      <w:r>
        <w:separator/>
      </w:r>
    </w:p>
  </w:footnote>
  <w:footnote w:type="continuationSeparator" w:id="0">
    <w:p w:rsidR="008C3DDC" w:rsidRDefault="008C3D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16568"/>
    <w:multiLevelType w:val="multilevel"/>
    <w:tmpl w:val="242036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1244793"/>
    <w:multiLevelType w:val="multilevel"/>
    <w:tmpl w:val="42C6FB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53A7729E"/>
    <w:multiLevelType w:val="multilevel"/>
    <w:tmpl w:val="BAFA8404"/>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40F7891"/>
    <w:multiLevelType w:val="multilevel"/>
    <w:tmpl w:val="2E0494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7D97691B"/>
    <w:multiLevelType w:val="multilevel"/>
    <w:tmpl w:val="E31AF3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29D"/>
    <w:rsid w:val="00421234"/>
    <w:rsid w:val="004E2197"/>
    <w:rsid w:val="008C3DDC"/>
    <w:rsid w:val="00F552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E3327D-FDFB-48AC-8781-86944970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aliases w:val="List Paragraph_0,Podsis rysunku,Lista XXX,Normalny PDST,HŁ_Bullet1"/>
    <w:basedOn w:val="Normalny"/>
    <w:link w:val="AkapitzlistZnak"/>
    <w:uiPriority w:val="34"/>
    <w:qFormat/>
    <w:rsid w:val="00D36466"/>
    <w:pPr>
      <w:ind w:left="720"/>
      <w:contextualSpacing/>
    </w:pPr>
  </w:style>
  <w:style w:type="paragraph" w:styleId="Nagwek">
    <w:name w:val="header"/>
    <w:basedOn w:val="Normalny"/>
    <w:link w:val="NagwekZnak"/>
    <w:rsid w:val="0010006D"/>
    <w:pPr>
      <w:tabs>
        <w:tab w:val="center" w:pos="4536"/>
        <w:tab w:val="right" w:pos="9072"/>
      </w:tabs>
    </w:pPr>
  </w:style>
  <w:style w:type="character" w:customStyle="1" w:styleId="NagwekZnak">
    <w:name w:val="Nagłówek Znak"/>
    <w:basedOn w:val="Domylnaczcionkaakapitu"/>
    <w:link w:val="Nagwek"/>
    <w:rsid w:val="0010006D"/>
    <w:rPr>
      <w:sz w:val="24"/>
      <w:szCs w:val="24"/>
    </w:rPr>
  </w:style>
  <w:style w:type="paragraph" w:styleId="Stopka">
    <w:name w:val="footer"/>
    <w:basedOn w:val="Normalny"/>
    <w:link w:val="StopkaZnak"/>
    <w:uiPriority w:val="99"/>
    <w:rsid w:val="0010006D"/>
    <w:pPr>
      <w:tabs>
        <w:tab w:val="center" w:pos="4536"/>
        <w:tab w:val="right" w:pos="9072"/>
      </w:tabs>
    </w:pPr>
  </w:style>
  <w:style w:type="character" w:customStyle="1" w:styleId="StopkaZnak">
    <w:name w:val="Stopka Znak"/>
    <w:basedOn w:val="Domylnaczcionkaakapitu"/>
    <w:link w:val="Stopka"/>
    <w:uiPriority w:val="99"/>
    <w:rsid w:val="0010006D"/>
    <w:rPr>
      <w:sz w:val="24"/>
      <w:szCs w:val="24"/>
    </w:rPr>
  </w:style>
  <w:style w:type="character" w:customStyle="1" w:styleId="AkapitzlistZnak">
    <w:name w:val="Akapit z listą Znak"/>
    <w:aliases w:val="List Paragraph_0 Znak,Podsis rysunku Znak,Lista XXX Znak,Normalny PDST Znak,HŁ_Bullet1 Znak"/>
    <w:link w:val="Akapitzlist"/>
    <w:uiPriority w:val="34"/>
    <w:qFormat/>
    <w:locked/>
    <w:rsid w:val="00B77D65"/>
    <w:rPr>
      <w:sz w:val="24"/>
      <w:szCs w:val="24"/>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d7Axufulvr/sQ3mq75nctbZRZg==">CgMxLjA4AHIhMWlMYmF1clMtR1QtN3EySkpiX2t6UjJLOHQzXzNIbFpL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1228</Words>
  <Characters>7372</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MK</cp:lastModifiedBy>
  <cp:revision>3</cp:revision>
  <dcterms:created xsi:type="dcterms:W3CDTF">2024-01-31T11:24:00Z</dcterms:created>
  <dcterms:modified xsi:type="dcterms:W3CDTF">2024-01-31T11:33:00Z</dcterms:modified>
</cp:coreProperties>
</file>